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BDE5" w14:textId="72C36783" w:rsidR="004B59C5" w:rsidRPr="00D14BCD" w:rsidRDefault="004B59C5" w:rsidP="00D31902">
      <w:pPr>
        <w:ind w:right="-737"/>
        <w:jc w:val="right"/>
        <w:rPr>
          <w:spacing w:val="10"/>
          <w:sz w:val="22"/>
          <w:szCs w:val="22"/>
        </w:rPr>
      </w:pPr>
      <w:r w:rsidRPr="00D14BCD">
        <w:rPr>
          <w:spacing w:val="10"/>
          <w:sz w:val="22"/>
          <w:szCs w:val="22"/>
        </w:rPr>
        <w:t>Kindlustusandjate kriiside ennetamise ja lahendamise seadus</w:t>
      </w:r>
      <w:r w:rsidR="00C11798" w:rsidRPr="00D14BCD">
        <w:rPr>
          <w:spacing w:val="10"/>
          <w:sz w:val="22"/>
          <w:szCs w:val="22"/>
        </w:rPr>
        <w:t>e eelnõu</w:t>
      </w:r>
      <w:r w:rsidRPr="00D14BCD">
        <w:rPr>
          <w:spacing w:val="10"/>
          <w:sz w:val="22"/>
          <w:szCs w:val="22"/>
        </w:rPr>
        <w:t xml:space="preserve"> </w:t>
      </w:r>
    </w:p>
    <w:p w14:paraId="70DA062A" w14:textId="77777777" w:rsidR="00D14BCD" w:rsidRPr="00D14BCD" w:rsidRDefault="00D14BCD" w:rsidP="00D31902">
      <w:pPr>
        <w:ind w:right="-737"/>
        <w:jc w:val="right"/>
        <w:rPr>
          <w:spacing w:val="10"/>
          <w:sz w:val="22"/>
          <w:szCs w:val="22"/>
        </w:rPr>
      </w:pPr>
      <w:r w:rsidRPr="00D14BCD">
        <w:rPr>
          <w:spacing w:val="10"/>
          <w:sz w:val="22"/>
          <w:szCs w:val="22"/>
        </w:rPr>
        <w:t>s</w:t>
      </w:r>
      <w:r w:rsidR="00FB4182" w:rsidRPr="00D14BCD">
        <w:rPr>
          <w:spacing w:val="10"/>
          <w:sz w:val="22"/>
          <w:szCs w:val="22"/>
        </w:rPr>
        <w:t>eletuskirja</w:t>
      </w:r>
      <w:r w:rsidRPr="00D14BCD">
        <w:rPr>
          <w:spacing w:val="10"/>
          <w:sz w:val="22"/>
          <w:szCs w:val="22"/>
        </w:rPr>
        <w:t xml:space="preserve"> juurde</w:t>
      </w:r>
      <w:r w:rsidR="00FB4182" w:rsidRPr="00D14BCD">
        <w:rPr>
          <w:spacing w:val="10"/>
          <w:sz w:val="22"/>
          <w:szCs w:val="22"/>
        </w:rPr>
        <w:t xml:space="preserve"> </w:t>
      </w:r>
    </w:p>
    <w:p w14:paraId="7C11B3B2" w14:textId="549C6F5B" w:rsidR="00FB4182" w:rsidRPr="00D14BCD" w:rsidRDefault="00D14BCD" w:rsidP="00D31902">
      <w:pPr>
        <w:ind w:right="-737"/>
        <w:jc w:val="right"/>
        <w:rPr>
          <w:spacing w:val="10"/>
          <w:sz w:val="22"/>
          <w:szCs w:val="22"/>
        </w:rPr>
      </w:pPr>
      <w:r w:rsidRPr="00D14BCD">
        <w:rPr>
          <w:spacing w:val="10"/>
          <w:sz w:val="22"/>
          <w:szCs w:val="22"/>
        </w:rPr>
        <w:t>L</w:t>
      </w:r>
      <w:r w:rsidR="00FB4182" w:rsidRPr="00D14BCD">
        <w:rPr>
          <w:spacing w:val="10"/>
          <w:sz w:val="22"/>
          <w:szCs w:val="22"/>
        </w:rPr>
        <w:t xml:space="preserve">isa </w:t>
      </w:r>
      <w:r w:rsidRPr="00D14BCD">
        <w:rPr>
          <w:spacing w:val="10"/>
          <w:sz w:val="22"/>
          <w:szCs w:val="22"/>
        </w:rPr>
        <w:t>5</w:t>
      </w:r>
    </w:p>
    <w:p w14:paraId="6A5D2666" w14:textId="4FEB7463" w:rsidR="00C6527F" w:rsidRPr="00B42F50" w:rsidRDefault="00C11798" w:rsidP="00D14BCD">
      <w:pPr>
        <w:ind w:right="-737"/>
        <w:jc w:val="center"/>
        <w:rPr>
          <w:b/>
          <w:bCs/>
          <w:spacing w:val="10"/>
          <w:sz w:val="22"/>
          <w:szCs w:val="22"/>
        </w:rPr>
      </w:pPr>
      <w:r w:rsidRPr="00B42F50">
        <w:rPr>
          <w:b/>
          <w:bCs/>
          <w:spacing w:val="10"/>
          <w:sz w:val="22"/>
          <w:szCs w:val="22"/>
        </w:rPr>
        <w:t>M</w:t>
      </w:r>
      <w:r w:rsidR="00BE210A" w:rsidRPr="00B42F50">
        <w:rPr>
          <w:b/>
          <w:bCs/>
          <w:spacing w:val="10"/>
          <w:sz w:val="22"/>
          <w:szCs w:val="22"/>
        </w:rPr>
        <w:t>ärkus</w:t>
      </w:r>
      <w:r w:rsidR="008D0EF3" w:rsidRPr="00B42F50">
        <w:rPr>
          <w:b/>
          <w:bCs/>
          <w:spacing w:val="10"/>
          <w:sz w:val="22"/>
          <w:szCs w:val="22"/>
        </w:rPr>
        <w:t>te tabel</w:t>
      </w:r>
    </w:p>
    <w:p w14:paraId="16FD4E9B" w14:textId="77777777" w:rsidR="00C6527F" w:rsidRPr="00B42F50" w:rsidRDefault="00C6527F" w:rsidP="00D31902">
      <w:pPr>
        <w:jc w:val="both"/>
        <w:rPr>
          <w:b/>
          <w:bCs/>
          <w:spacing w:val="10"/>
          <w:sz w:val="22"/>
          <w:szCs w:val="22"/>
        </w:rPr>
      </w:pPr>
    </w:p>
    <w:p w14:paraId="57BD243E" w14:textId="77777777" w:rsidR="00C6527F" w:rsidRPr="00B42F50" w:rsidRDefault="00C6527F" w:rsidP="00D31902">
      <w:pPr>
        <w:jc w:val="both"/>
        <w:rPr>
          <w:sz w:val="22"/>
          <w:szCs w:val="22"/>
        </w:rPr>
      </w:pPr>
    </w:p>
    <w:tbl>
      <w:tblPr>
        <w:tblW w:w="10680"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5387"/>
        <w:gridCol w:w="1417"/>
        <w:gridCol w:w="2977"/>
      </w:tblGrid>
      <w:tr w:rsidR="00C6527F" w:rsidRPr="00B42F50" w14:paraId="50A46C27" w14:textId="77777777" w:rsidTr="00674C03">
        <w:tc>
          <w:tcPr>
            <w:tcW w:w="899" w:type="dxa"/>
            <w:tcBorders>
              <w:bottom w:val="single" w:sz="4" w:space="0" w:color="auto"/>
            </w:tcBorders>
            <w:shd w:val="clear" w:color="auto" w:fill="FFFF99"/>
            <w:vAlign w:val="center"/>
          </w:tcPr>
          <w:p w14:paraId="1F00548C" w14:textId="77777777" w:rsidR="00C6527F" w:rsidRPr="00B42F50" w:rsidRDefault="00C6527F" w:rsidP="00D31902">
            <w:pPr>
              <w:pStyle w:val="Kehatekst2"/>
              <w:autoSpaceDE/>
              <w:autoSpaceDN/>
              <w:adjustRightInd/>
              <w:spacing w:line="240" w:lineRule="auto"/>
              <w:rPr>
                <w:b/>
                <w:bCs/>
                <w:i w:val="0"/>
                <w:iCs w:val="0"/>
                <w:sz w:val="22"/>
                <w:szCs w:val="22"/>
                <w:lang w:eastAsia="fr-FR"/>
              </w:rPr>
            </w:pPr>
            <w:r w:rsidRPr="00B42F50">
              <w:rPr>
                <w:b/>
                <w:bCs/>
                <w:i w:val="0"/>
                <w:iCs w:val="0"/>
                <w:sz w:val="22"/>
                <w:szCs w:val="22"/>
                <w:lang w:eastAsia="fr-FR"/>
              </w:rPr>
              <w:t>Nr.</w:t>
            </w:r>
          </w:p>
        </w:tc>
        <w:tc>
          <w:tcPr>
            <w:tcW w:w="5387" w:type="dxa"/>
            <w:tcBorders>
              <w:bottom w:val="single" w:sz="4" w:space="0" w:color="auto"/>
            </w:tcBorders>
            <w:shd w:val="clear" w:color="auto" w:fill="FFFF99"/>
            <w:vAlign w:val="center"/>
          </w:tcPr>
          <w:p w14:paraId="6AB82EBC" w14:textId="77777777" w:rsidR="00C6527F" w:rsidRPr="00B42F50" w:rsidRDefault="00C6527F" w:rsidP="00D31902">
            <w:pPr>
              <w:pStyle w:val="Kehatekst2"/>
              <w:autoSpaceDE/>
              <w:autoSpaceDN/>
              <w:adjustRightInd/>
              <w:spacing w:line="240" w:lineRule="auto"/>
              <w:jc w:val="center"/>
              <w:rPr>
                <w:b/>
                <w:bCs/>
                <w:i w:val="0"/>
                <w:iCs w:val="0"/>
                <w:sz w:val="22"/>
                <w:szCs w:val="22"/>
                <w:lang w:eastAsia="fr-FR"/>
              </w:rPr>
            </w:pPr>
            <w:r w:rsidRPr="00B42F50">
              <w:rPr>
                <w:b/>
                <w:bCs/>
                <w:i w:val="0"/>
                <w:iCs w:val="0"/>
                <w:sz w:val="22"/>
                <w:szCs w:val="22"/>
                <w:lang w:eastAsia="fr-FR"/>
              </w:rPr>
              <w:t>Ettepaneku sisu</w:t>
            </w:r>
          </w:p>
        </w:tc>
        <w:tc>
          <w:tcPr>
            <w:tcW w:w="1417" w:type="dxa"/>
            <w:tcBorders>
              <w:bottom w:val="single" w:sz="4" w:space="0" w:color="auto"/>
            </w:tcBorders>
            <w:shd w:val="clear" w:color="auto" w:fill="FFFF99"/>
            <w:vAlign w:val="center"/>
          </w:tcPr>
          <w:p w14:paraId="36E5E51F" w14:textId="77777777" w:rsidR="00C6527F" w:rsidRPr="00B42F50" w:rsidRDefault="00C6527F" w:rsidP="00D31902">
            <w:pPr>
              <w:pStyle w:val="Kehatekst2"/>
              <w:autoSpaceDE/>
              <w:autoSpaceDN/>
              <w:adjustRightInd/>
              <w:spacing w:line="240" w:lineRule="auto"/>
              <w:jc w:val="center"/>
              <w:rPr>
                <w:b/>
                <w:bCs/>
                <w:i w:val="0"/>
                <w:iCs w:val="0"/>
                <w:sz w:val="22"/>
                <w:szCs w:val="22"/>
                <w:lang w:eastAsia="fr-FR"/>
              </w:rPr>
            </w:pPr>
            <w:r w:rsidRPr="00B42F50">
              <w:rPr>
                <w:b/>
                <w:bCs/>
                <w:i w:val="0"/>
                <w:iCs w:val="0"/>
                <w:sz w:val="22"/>
                <w:szCs w:val="22"/>
                <w:lang w:eastAsia="fr-FR"/>
              </w:rPr>
              <w:t>Arvestatud/</w:t>
            </w:r>
          </w:p>
          <w:p w14:paraId="2C93B5A6" w14:textId="77777777" w:rsidR="00C6527F" w:rsidRPr="00B42F50" w:rsidRDefault="00C6527F" w:rsidP="00D31902">
            <w:pPr>
              <w:pStyle w:val="Kehatekst2"/>
              <w:autoSpaceDE/>
              <w:autoSpaceDN/>
              <w:adjustRightInd/>
              <w:spacing w:line="240" w:lineRule="auto"/>
              <w:jc w:val="center"/>
              <w:rPr>
                <w:b/>
                <w:bCs/>
                <w:i w:val="0"/>
                <w:iCs w:val="0"/>
                <w:sz w:val="22"/>
                <w:szCs w:val="22"/>
                <w:lang w:eastAsia="fr-FR"/>
              </w:rPr>
            </w:pPr>
            <w:r w:rsidRPr="00B42F50">
              <w:rPr>
                <w:b/>
                <w:bCs/>
                <w:i w:val="0"/>
                <w:iCs w:val="0"/>
                <w:sz w:val="22"/>
                <w:szCs w:val="22"/>
                <w:lang w:eastAsia="fr-FR"/>
              </w:rPr>
              <w:t>Mitte- arvestatud/</w:t>
            </w:r>
          </w:p>
          <w:p w14:paraId="39AC5D8C" w14:textId="77777777" w:rsidR="00C6527F" w:rsidRPr="00B42F50" w:rsidRDefault="00C6527F" w:rsidP="00D31902">
            <w:pPr>
              <w:pStyle w:val="Kehatekst2"/>
              <w:autoSpaceDE/>
              <w:autoSpaceDN/>
              <w:adjustRightInd/>
              <w:spacing w:line="240" w:lineRule="auto"/>
              <w:jc w:val="center"/>
              <w:rPr>
                <w:b/>
                <w:bCs/>
                <w:i w:val="0"/>
                <w:iCs w:val="0"/>
                <w:sz w:val="22"/>
                <w:szCs w:val="22"/>
                <w:lang w:eastAsia="fr-FR"/>
              </w:rPr>
            </w:pPr>
            <w:r w:rsidRPr="00B42F50">
              <w:rPr>
                <w:b/>
                <w:bCs/>
                <w:i w:val="0"/>
                <w:iCs w:val="0"/>
                <w:sz w:val="22"/>
                <w:szCs w:val="22"/>
                <w:lang w:eastAsia="fr-FR"/>
              </w:rPr>
              <w:t>Selgitatud</w:t>
            </w:r>
          </w:p>
          <w:p w14:paraId="248D9F33" w14:textId="77777777" w:rsidR="00C6527F" w:rsidRPr="00B42F50" w:rsidRDefault="00C6527F" w:rsidP="00D31902">
            <w:pPr>
              <w:pStyle w:val="Kehatekst2"/>
              <w:autoSpaceDE/>
              <w:autoSpaceDN/>
              <w:adjustRightInd/>
              <w:spacing w:line="240" w:lineRule="auto"/>
              <w:jc w:val="center"/>
              <w:rPr>
                <w:b/>
                <w:bCs/>
                <w:i w:val="0"/>
                <w:iCs w:val="0"/>
                <w:sz w:val="22"/>
                <w:szCs w:val="22"/>
                <w:lang w:eastAsia="fr-FR"/>
              </w:rPr>
            </w:pPr>
          </w:p>
        </w:tc>
        <w:tc>
          <w:tcPr>
            <w:tcW w:w="2977" w:type="dxa"/>
            <w:tcBorders>
              <w:bottom w:val="single" w:sz="4" w:space="0" w:color="auto"/>
            </w:tcBorders>
            <w:shd w:val="clear" w:color="auto" w:fill="FFFF99"/>
            <w:vAlign w:val="center"/>
          </w:tcPr>
          <w:p w14:paraId="68212B1C" w14:textId="77777777" w:rsidR="00C6527F" w:rsidRPr="00B42F50" w:rsidRDefault="00C6527F" w:rsidP="00D31902">
            <w:pPr>
              <w:pStyle w:val="Kehatekst2"/>
              <w:autoSpaceDE/>
              <w:autoSpaceDN/>
              <w:adjustRightInd/>
              <w:spacing w:line="240" w:lineRule="auto"/>
              <w:jc w:val="center"/>
              <w:rPr>
                <w:b/>
                <w:bCs/>
                <w:i w:val="0"/>
                <w:iCs w:val="0"/>
                <w:sz w:val="22"/>
                <w:szCs w:val="22"/>
                <w:lang w:eastAsia="fr-FR"/>
              </w:rPr>
            </w:pPr>
            <w:r w:rsidRPr="00B42F50">
              <w:rPr>
                <w:b/>
                <w:bCs/>
                <w:i w:val="0"/>
                <w:iCs w:val="0"/>
                <w:sz w:val="22"/>
                <w:szCs w:val="22"/>
                <w:lang w:eastAsia="fr-FR"/>
              </w:rPr>
              <w:t>Rahandusministeeriumi</w:t>
            </w:r>
          </w:p>
          <w:p w14:paraId="5B7FCB3B" w14:textId="77777777" w:rsidR="00C6527F" w:rsidRPr="00B42F50" w:rsidRDefault="00C6527F" w:rsidP="00D31902">
            <w:pPr>
              <w:pStyle w:val="Kehatekst2"/>
              <w:autoSpaceDE/>
              <w:autoSpaceDN/>
              <w:adjustRightInd/>
              <w:spacing w:line="240" w:lineRule="auto"/>
              <w:jc w:val="center"/>
              <w:rPr>
                <w:b/>
                <w:bCs/>
                <w:i w:val="0"/>
                <w:iCs w:val="0"/>
                <w:sz w:val="22"/>
                <w:szCs w:val="22"/>
                <w:lang w:eastAsia="fr-FR"/>
              </w:rPr>
            </w:pPr>
            <w:r w:rsidRPr="00B42F50">
              <w:rPr>
                <w:b/>
                <w:bCs/>
                <w:i w:val="0"/>
                <w:iCs w:val="0"/>
                <w:sz w:val="22"/>
                <w:szCs w:val="22"/>
                <w:lang w:eastAsia="fr-FR"/>
              </w:rPr>
              <w:t>seisukoht</w:t>
            </w:r>
          </w:p>
        </w:tc>
      </w:tr>
      <w:tr w:rsidR="00C6527F" w:rsidRPr="00B42F50" w14:paraId="7EEDA1D8" w14:textId="77777777">
        <w:tc>
          <w:tcPr>
            <w:tcW w:w="10680" w:type="dxa"/>
            <w:gridSpan w:val="4"/>
            <w:tcBorders>
              <w:left w:val="nil"/>
              <w:right w:val="nil"/>
            </w:tcBorders>
            <w:shd w:val="clear" w:color="auto" w:fill="FFFFFF" w:themeFill="background1"/>
            <w:vAlign w:val="center"/>
          </w:tcPr>
          <w:p w14:paraId="4ED5E637" w14:textId="77777777" w:rsidR="005C0E9C" w:rsidRPr="00B42F50" w:rsidRDefault="005C0E9C" w:rsidP="00D31902">
            <w:pPr>
              <w:pStyle w:val="Kehatekst2"/>
              <w:autoSpaceDE/>
              <w:autoSpaceDN/>
              <w:adjustRightInd/>
              <w:spacing w:line="240" w:lineRule="auto"/>
              <w:rPr>
                <w:b/>
                <w:bCs/>
                <w:i w:val="0"/>
                <w:iCs w:val="0"/>
                <w:sz w:val="22"/>
                <w:szCs w:val="22"/>
                <w:lang w:eastAsia="fr-FR"/>
              </w:rPr>
            </w:pPr>
          </w:p>
        </w:tc>
      </w:tr>
    </w:tbl>
    <w:p w14:paraId="54EEEBB1" w14:textId="77777777" w:rsidR="00C6527F" w:rsidRPr="00B42F50" w:rsidRDefault="00C6527F" w:rsidP="00D31902">
      <w:pPr>
        <w:rPr>
          <w:sz w:val="22"/>
          <w:szCs w:val="22"/>
        </w:rPr>
      </w:pPr>
      <w:bookmarkStart w:id="0" w:name="_JUSTIITSMINISTEERIUMI_MÄRKUSED"/>
      <w:bookmarkEnd w:id="0"/>
    </w:p>
    <w:tbl>
      <w:tblPr>
        <w:tblW w:w="10680"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0"/>
      </w:tblGrid>
      <w:tr w:rsidR="00C6527F" w:rsidRPr="00B42F50" w14:paraId="4F356D0A" w14:textId="77777777">
        <w:tc>
          <w:tcPr>
            <w:tcW w:w="10680" w:type="dxa"/>
            <w:shd w:val="clear" w:color="auto" w:fill="D9D9D9" w:themeFill="background1" w:themeFillShade="D9"/>
            <w:vAlign w:val="center"/>
          </w:tcPr>
          <w:p w14:paraId="374AE4B9" w14:textId="44642741" w:rsidR="00C6527F" w:rsidRPr="00B42F50" w:rsidRDefault="00C6527F" w:rsidP="00D31902">
            <w:pPr>
              <w:pStyle w:val="Pealkiri1"/>
              <w:spacing w:before="0" w:after="0" w:line="240" w:lineRule="auto"/>
              <w:jc w:val="both"/>
              <w:rPr>
                <w:rFonts w:ascii="Times New Roman" w:hAnsi="Times New Roman"/>
                <w:b/>
                <w:color w:val="auto"/>
                <w:sz w:val="22"/>
                <w:szCs w:val="22"/>
                <w:lang w:eastAsia="fr-FR"/>
              </w:rPr>
            </w:pPr>
            <w:bookmarkStart w:id="1" w:name="_Ref222303660"/>
            <w:r w:rsidRPr="00B42F50">
              <w:rPr>
                <w:rFonts w:ascii="Times New Roman" w:hAnsi="Times New Roman"/>
                <w:b/>
                <w:color w:val="auto"/>
                <w:sz w:val="22"/>
                <w:szCs w:val="22"/>
                <w:lang w:eastAsia="fr-FR"/>
              </w:rPr>
              <w:t>FINANTSINSPEKTSIOON</w:t>
            </w:r>
            <w:bookmarkEnd w:id="1"/>
          </w:p>
        </w:tc>
      </w:tr>
    </w:tbl>
    <w:tbl>
      <w:tblPr>
        <w:tblStyle w:val="Kontuurtabel"/>
        <w:tblW w:w="10661" w:type="dxa"/>
        <w:tblInd w:w="-743" w:type="dxa"/>
        <w:tblLook w:val="00A0" w:firstRow="1" w:lastRow="0" w:firstColumn="1" w:lastColumn="0" w:noHBand="0" w:noVBand="0"/>
      </w:tblPr>
      <w:tblGrid>
        <w:gridCol w:w="880"/>
        <w:gridCol w:w="5528"/>
        <w:gridCol w:w="1276"/>
        <w:gridCol w:w="2977"/>
      </w:tblGrid>
      <w:tr w:rsidR="00A04496" w:rsidRPr="00B42F50" w14:paraId="31C682CC" w14:textId="77777777" w:rsidTr="00442C35">
        <w:tc>
          <w:tcPr>
            <w:tcW w:w="880" w:type="dxa"/>
          </w:tcPr>
          <w:p w14:paraId="295641DF" w14:textId="787D83CB" w:rsidR="00E2781D" w:rsidRDefault="00E2781D" w:rsidP="00D31902">
            <w:pPr>
              <w:jc w:val="both"/>
              <w:rPr>
                <w:b/>
                <w:sz w:val="22"/>
                <w:szCs w:val="22"/>
              </w:rPr>
            </w:pPr>
            <w:r>
              <w:rPr>
                <w:b/>
                <w:sz w:val="22"/>
                <w:szCs w:val="22"/>
              </w:rPr>
              <w:t>1.</w:t>
            </w:r>
          </w:p>
          <w:p w14:paraId="07CB688D" w14:textId="08E8417F" w:rsidR="00C6527F" w:rsidRPr="00B42F50" w:rsidRDefault="00C6527F" w:rsidP="00D31902">
            <w:pPr>
              <w:jc w:val="both"/>
              <w:rPr>
                <w:b/>
                <w:sz w:val="22"/>
                <w:szCs w:val="22"/>
              </w:rPr>
            </w:pPr>
            <w:r w:rsidRPr="00B42F50">
              <w:rPr>
                <w:b/>
                <w:sz w:val="22"/>
                <w:szCs w:val="22"/>
              </w:rPr>
              <w:t>FI</w:t>
            </w:r>
          </w:p>
        </w:tc>
        <w:tc>
          <w:tcPr>
            <w:tcW w:w="5528" w:type="dxa"/>
          </w:tcPr>
          <w:p w14:paraId="6FAB65ED" w14:textId="6D177443" w:rsidR="00442C35" w:rsidRPr="00B42F50" w:rsidRDefault="005646FC" w:rsidP="00D31902">
            <w:pPr>
              <w:jc w:val="both"/>
              <w:rPr>
                <w:sz w:val="22"/>
                <w:szCs w:val="22"/>
              </w:rPr>
            </w:pPr>
            <w:r w:rsidRPr="008F062F">
              <w:rPr>
                <w:sz w:val="22"/>
                <w:szCs w:val="22"/>
              </w:rPr>
              <w:t>1.</w:t>
            </w:r>
            <w:r w:rsidRPr="00B42F50">
              <w:rPr>
                <w:sz w:val="22"/>
                <w:szCs w:val="22"/>
              </w:rPr>
              <w:t xml:space="preserve"> </w:t>
            </w:r>
            <w:r w:rsidR="00442C35" w:rsidRPr="00B42F50">
              <w:rPr>
                <w:sz w:val="22"/>
                <w:szCs w:val="22"/>
              </w:rPr>
              <w:t>Finantsinspektsiooni ettepanek on muuta KindlTS § 238 lõikes 3 ja §-s 263</w:t>
            </w:r>
            <w:r w:rsidR="00442C35" w:rsidRPr="00B42F50">
              <w:rPr>
                <w:sz w:val="22"/>
                <w:szCs w:val="22"/>
                <w:vertAlign w:val="superscript"/>
              </w:rPr>
              <w:t>3</w:t>
            </w:r>
            <w:r w:rsidR="00442C35" w:rsidRPr="00B42F50">
              <w:rPr>
                <w:sz w:val="22"/>
                <w:szCs w:val="22"/>
              </w:rPr>
              <w:t xml:space="preserve"> kogukäibe sõnastust analoogselt KKELS § 80 lõike 3 ja § 84 sõnastusega. </w:t>
            </w:r>
          </w:p>
          <w:p w14:paraId="66823905" w14:textId="77777777" w:rsidR="009B37FA" w:rsidRPr="00B42F50" w:rsidRDefault="009B37FA" w:rsidP="00D31902">
            <w:pPr>
              <w:jc w:val="both"/>
              <w:rPr>
                <w:sz w:val="22"/>
                <w:szCs w:val="22"/>
              </w:rPr>
            </w:pPr>
          </w:p>
          <w:p w14:paraId="2176AF0F" w14:textId="1D7236A7" w:rsidR="00C6527F" w:rsidRPr="00B42F50" w:rsidRDefault="00442C35" w:rsidP="00D31902">
            <w:pPr>
              <w:jc w:val="both"/>
              <w:rPr>
                <w:sz w:val="22"/>
                <w:szCs w:val="22"/>
              </w:rPr>
            </w:pPr>
            <w:r w:rsidRPr="00B42F50">
              <w:rPr>
                <w:sz w:val="22"/>
                <w:szCs w:val="22"/>
              </w:rPr>
              <w:t>KKELS § 80 lõikes 3 ja §-s 84 on juriidilise isiku kogukäive kindlustusmaksete aastane kogusumma kindlustusandja eelmise majandusaasta solventsuse ja finantsseisundi aruande alusel. KindlTS § 238 lõike 3 ja § 263</w:t>
            </w:r>
            <w:r w:rsidRPr="00B42F50">
              <w:rPr>
                <w:sz w:val="22"/>
                <w:szCs w:val="22"/>
                <w:vertAlign w:val="superscript"/>
              </w:rPr>
              <w:t>3</w:t>
            </w:r>
            <w:r w:rsidRPr="00B42F50">
              <w:rPr>
                <w:sz w:val="22"/>
                <w:szCs w:val="22"/>
              </w:rPr>
              <w:t xml:space="preserve"> kohaselt juriidilise isiku kogukäive on aastane kogukäive vastavalt viimasele kättesaadavale juhtimisorgani kinnitatud raamatupidamise aastaaruandele. KindlTS ei täpsusta kindlustusandja kogukäibe arvutamise põhimõtteid, mis raskendab seaduse rakendamist, kuna võimaldab mitmeti tõlgendamist.</w:t>
            </w:r>
          </w:p>
        </w:tc>
        <w:tc>
          <w:tcPr>
            <w:tcW w:w="1276" w:type="dxa"/>
          </w:tcPr>
          <w:p w14:paraId="61269103" w14:textId="2F040A8B" w:rsidR="00C6527F" w:rsidRPr="00B42F50" w:rsidRDefault="00AA68CA" w:rsidP="00D31902">
            <w:pPr>
              <w:jc w:val="center"/>
              <w:rPr>
                <w:sz w:val="22"/>
                <w:szCs w:val="22"/>
              </w:rPr>
            </w:pPr>
            <w:r w:rsidRPr="00B42F50">
              <w:rPr>
                <w:sz w:val="22"/>
                <w:szCs w:val="22"/>
              </w:rPr>
              <w:t>Arvestatud</w:t>
            </w:r>
          </w:p>
        </w:tc>
        <w:tc>
          <w:tcPr>
            <w:tcW w:w="2977" w:type="dxa"/>
          </w:tcPr>
          <w:p w14:paraId="3B045F3D" w14:textId="5142B4F7" w:rsidR="00C6527F" w:rsidRPr="00B42F50" w:rsidRDefault="00C6527F" w:rsidP="00D31902">
            <w:pPr>
              <w:jc w:val="both"/>
              <w:rPr>
                <w:i/>
                <w:iCs/>
                <w:sz w:val="22"/>
                <w:szCs w:val="22"/>
              </w:rPr>
            </w:pPr>
          </w:p>
        </w:tc>
      </w:tr>
      <w:tr w:rsidR="00A04496" w:rsidRPr="00B42F50" w14:paraId="77DC3E92" w14:textId="77777777" w:rsidTr="00442C35">
        <w:tc>
          <w:tcPr>
            <w:tcW w:w="880" w:type="dxa"/>
          </w:tcPr>
          <w:p w14:paraId="38610AEC" w14:textId="0235F3E4" w:rsidR="00E2781D" w:rsidRDefault="00E2781D" w:rsidP="00D31902">
            <w:pPr>
              <w:jc w:val="both"/>
              <w:rPr>
                <w:b/>
                <w:sz w:val="22"/>
                <w:szCs w:val="22"/>
              </w:rPr>
            </w:pPr>
            <w:r>
              <w:rPr>
                <w:b/>
                <w:sz w:val="22"/>
                <w:szCs w:val="22"/>
              </w:rPr>
              <w:t>2.</w:t>
            </w:r>
          </w:p>
          <w:p w14:paraId="0D86C341" w14:textId="589BD5F4" w:rsidR="00C6527F" w:rsidRPr="00B42F50" w:rsidRDefault="00C6527F" w:rsidP="00D31902">
            <w:pPr>
              <w:jc w:val="both"/>
              <w:rPr>
                <w:b/>
                <w:sz w:val="22"/>
                <w:szCs w:val="22"/>
              </w:rPr>
            </w:pPr>
            <w:r w:rsidRPr="00B42F50">
              <w:rPr>
                <w:b/>
                <w:sz w:val="22"/>
                <w:szCs w:val="22"/>
              </w:rPr>
              <w:t>FI</w:t>
            </w:r>
          </w:p>
        </w:tc>
        <w:tc>
          <w:tcPr>
            <w:tcW w:w="5528" w:type="dxa"/>
          </w:tcPr>
          <w:p w14:paraId="608A4D20" w14:textId="3EFEF8B7" w:rsidR="00B8640B" w:rsidRPr="00B42F50" w:rsidRDefault="005646FC" w:rsidP="00D31902">
            <w:pPr>
              <w:jc w:val="both"/>
              <w:rPr>
                <w:sz w:val="22"/>
                <w:szCs w:val="22"/>
              </w:rPr>
            </w:pPr>
            <w:r w:rsidRPr="008F062F">
              <w:rPr>
                <w:sz w:val="22"/>
                <w:szCs w:val="22"/>
              </w:rPr>
              <w:t>2.</w:t>
            </w:r>
            <w:r w:rsidRPr="00B42F50">
              <w:rPr>
                <w:sz w:val="22"/>
                <w:szCs w:val="22"/>
              </w:rPr>
              <w:t xml:space="preserve"> </w:t>
            </w:r>
            <w:r w:rsidR="00B8640B" w:rsidRPr="00B42F50">
              <w:rPr>
                <w:sz w:val="22"/>
                <w:szCs w:val="22"/>
              </w:rPr>
              <w:t xml:space="preserve">Finantsinspektsioon juhib tähelepanu, et KKELS § 80 lõikes 3 ja §-s 84 on kasutatud nii käibe kui ka kogukäibe mõistet, kuigi neil mõistetel ei ole antud juhul sisulist erinevust ja võiks kasutada ühte mõistet. </w:t>
            </w:r>
          </w:p>
          <w:p w14:paraId="3073A7C3" w14:textId="55E81F4F" w:rsidR="00C6527F" w:rsidRPr="00B42F50" w:rsidRDefault="00C6527F" w:rsidP="00D31902">
            <w:pPr>
              <w:jc w:val="both"/>
              <w:rPr>
                <w:sz w:val="22"/>
                <w:szCs w:val="22"/>
              </w:rPr>
            </w:pPr>
          </w:p>
        </w:tc>
        <w:tc>
          <w:tcPr>
            <w:tcW w:w="1276" w:type="dxa"/>
          </w:tcPr>
          <w:p w14:paraId="5FF7A4F3" w14:textId="3C5E83E6" w:rsidR="00C6527F" w:rsidRPr="00B42F50" w:rsidRDefault="00AA68CA" w:rsidP="00D31902">
            <w:pPr>
              <w:jc w:val="both"/>
              <w:rPr>
                <w:sz w:val="22"/>
                <w:szCs w:val="22"/>
              </w:rPr>
            </w:pPr>
            <w:r w:rsidRPr="00B42F50">
              <w:rPr>
                <w:sz w:val="22"/>
                <w:szCs w:val="22"/>
              </w:rPr>
              <w:t>Arvestatud</w:t>
            </w:r>
          </w:p>
        </w:tc>
        <w:tc>
          <w:tcPr>
            <w:tcW w:w="2977" w:type="dxa"/>
          </w:tcPr>
          <w:p w14:paraId="2173F073" w14:textId="7859435D" w:rsidR="00C6527F" w:rsidRPr="00B42F50" w:rsidRDefault="00C6527F" w:rsidP="00D31902">
            <w:pPr>
              <w:jc w:val="both"/>
              <w:rPr>
                <w:sz w:val="22"/>
                <w:szCs w:val="22"/>
              </w:rPr>
            </w:pPr>
          </w:p>
        </w:tc>
      </w:tr>
      <w:tr w:rsidR="00A04496" w:rsidRPr="00B42F50" w14:paraId="23FD282F" w14:textId="77777777" w:rsidTr="00442C35">
        <w:tc>
          <w:tcPr>
            <w:tcW w:w="880" w:type="dxa"/>
          </w:tcPr>
          <w:p w14:paraId="56F9ABEA" w14:textId="6ADA3017" w:rsidR="00E2781D" w:rsidRDefault="00E2781D" w:rsidP="00D31902">
            <w:pPr>
              <w:jc w:val="both"/>
              <w:rPr>
                <w:b/>
                <w:sz w:val="22"/>
                <w:szCs w:val="22"/>
              </w:rPr>
            </w:pPr>
            <w:r>
              <w:rPr>
                <w:b/>
                <w:sz w:val="22"/>
                <w:szCs w:val="22"/>
              </w:rPr>
              <w:t>3.</w:t>
            </w:r>
          </w:p>
          <w:p w14:paraId="6D4504D1" w14:textId="02210C26" w:rsidR="009F421D" w:rsidRPr="00B42F50" w:rsidRDefault="004D258A" w:rsidP="00D31902">
            <w:pPr>
              <w:jc w:val="both"/>
              <w:rPr>
                <w:b/>
                <w:sz w:val="22"/>
                <w:szCs w:val="22"/>
              </w:rPr>
            </w:pPr>
            <w:r w:rsidRPr="00B42F50">
              <w:rPr>
                <w:b/>
                <w:sz w:val="22"/>
                <w:szCs w:val="22"/>
              </w:rPr>
              <w:t>FI</w:t>
            </w:r>
          </w:p>
        </w:tc>
        <w:tc>
          <w:tcPr>
            <w:tcW w:w="5528" w:type="dxa"/>
          </w:tcPr>
          <w:p w14:paraId="0BD6AF47" w14:textId="35CBB922" w:rsidR="009F421D" w:rsidRPr="00B42F50" w:rsidRDefault="00AA68CA" w:rsidP="00D31902">
            <w:pPr>
              <w:jc w:val="both"/>
              <w:rPr>
                <w:sz w:val="22"/>
                <w:szCs w:val="22"/>
              </w:rPr>
            </w:pPr>
            <w:r w:rsidRPr="008F062F">
              <w:rPr>
                <w:sz w:val="22"/>
                <w:szCs w:val="22"/>
              </w:rPr>
              <w:t>3.</w:t>
            </w:r>
            <w:r w:rsidRPr="00B42F50">
              <w:rPr>
                <w:sz w:val="22"/>
                <w:szCs w:val="22"/>
              </w:rPr>
              <w:t xml:space="preserve"> KKELS § 80 lõikes 3 ja §-s 84 ning seletuskirja § 80 selgitustes on kasutatud mõistet „konsolideeritud aastaaruanne“. Kui seadusandja viitab majandusaasta aruande raamatupidamise aruande osale, siis korrektne oleks kasutada mõistet „konsolideeritud raamatupidamise aastaaruanne“ (RPS § 28 lõige 1). </w:t>
            </w:r>
          </w:p>
        </w:tc>
        <w:tc>
          <w:tcPr>
            <w:tcW w:w="1276" w:type="dxa"/>
          </w:tcPr>
          <w:p w14:paraId="460EF941" w14:textId="4735B4F1" w:rsidR="009F421D" w:rsidRPr="00B42F50" w:rsidRDefault="00AA68CA" w:rsidP="00D31902">
            <w:pPr>
              <w:jc w:val="both"/>
              <w:rPr>
                <w:sz w:val="22"/>
                <w:szCs w:val="22"/>
              </w:rPr>
            </w:pPr>
            <w:r w:rsidRPr="00B42F50">
              <w:rPr>
                <w:sz w:val="22"/>
                <w:szCs w:val="22"/>
              </w:rPr>
              <w:t>Arvestatud</w:t>
            </w:r>
          </w:p>
        </w:tc>
        <w:tc>
          <w:tcPr>
            <w:tcW w:w="2977" w:type="dxa"/>
          </w:tcPr>
          <w:p w14:paraId="477D10DF" w14:textId="77777777" w:rsidR="009F421D" w:rsidRPr="00B42F50" w:rsidRDefault="009F421D" w:rsidP="00D31902">
            <w:pPr>
              <w:jc w:val="both"/>
              <w:rPr>
                <w:sz w:val="22"/>
                <w:szCs w:val="22"/>
              </w:rPr>
            </w:pPr>
          </w:p>
        </w:tc>
      </w:tr>
      <w:tr w:rsidR="00A04496" w:rsidRPr="00B42F50" w14:paraId="685A5A3F" w14:textId="77777777" w:rsidTr="00442C35">
        <w:tc>
          <w:tcPr>
            <w:tcW w:w="880" w:type="dxa"/>
          </w:tcPr>
          <w:p w14:paraId="1710E0F1" w14:textId="4F73E063" w:rsidR="00E2781D" w:rsidRDefault="00E2781D" w:rsidP="00D31902">
            <w:pPr>
              <w:jc w:val="both"/>
              <w:rPr>
                <w:b/>
                <w:sz w:val="22"/>
                <w:szCs w:val="22"/>
              </w:rPr>
            </w:pPr>
            <w:r>
              <w:rPr>
                <w:b/>
                <w:sz w:val="22"/>
                <w:szCs w:val="22"/>
              </w:rPr>
              <w:t>4.</w:t>
            </w:r>
          </w:p>
          <w:p w14:paraId="1087E7C3" w14:textId="314DBBEF" w:rsidR="009F421D" w:rsidRPr="00B42F50" w:rsidRDefault="004D258A" w:rsidP="00D31902">
            <w:pPr>
              <w:jc w:val="both"/>
              <w:rPr>
                <w:b/>
                <w:sz w:val="22"/>
                <w:szCs w:val="22"/>
              </w:rPr>
            </w:pPr>
            <w:r w:rsidRPr="00B42F50">
              <w:rPr>
                <w:b/>
                <w:sz w:val="22"/>
                <w:szCs w:val="22"/>
              </w:rPr>
              <w:t>FI</w:t>
            </w:r>
          </w:p>
        </w:tc>
        <w:tc>
          <w:tcPr>
            <w:tcW w:w="5528" w:type="dxa"/>
          </w:tcPr>
          <w:p w14:paraId="48D2E3E7" w14:textId="6F0ED15F" w:rsidR="009F421D" w:rsidRPr="00B42F50" w:rsidRDefault="00CE6B91" w:rsidP="00D31902">
            <w:pPr>
              <w:jc w:val="both"/>
              <w:rPr>
                <w:sz w:val="22"/>
                <w:szCs w:val="22"/>
              </w:rPr>
            </w:pPr>
            <w:r w:rsidRPr="008F062F">
              <w:rPr>
                <w:sz w:val="22"/>
                <w:szCs w:val="22"/>
              </w:rPr>
              <w:t>4.</w:t>
            </w:r>
            <w:r w:rsidRPr="00B42F50">
              <w:rPr>
                <w:sz w:val="22"/>
                <w:szCs w:val="22"/>
              </w:rPr>
              <w:t xml:space="preserve">  KKELS § 12 lõige 3 kohaselt lihtsustatud nõuded hõlmavad käesoleva seaduse § 7 lõikes 1 sätestatud kava sisu ja detailsuse vähendamist, esmase kava koostamise tähtaja muutmist ning kava ajakohastamise sageduse vähendamist. Finantsinspektsiooni hinnangul ei nähtu hetkel KKELS-ist, milline on esmase kava koostamise tähtaeg, mille tähtaja muutmist KKELS § 12 lõige 3 ette näeb, ja kas selle kehtestab Finantsinspektsioon. Näiteks on FELS § 10 lõikes 7 sätestatud, et Finantsinspektsioon kehtestab esimese finantsseisundi taastamise kava koostamise tähtaja. </w:t>
            </w:r>
          </w:p>
        </w:tc>
        <w:tc>
          <w:tcPr>
            <w:tcW w:w="1276" w:type="dxa"/>
          </w:tcPr>
          <w:p w14:paraId="5D7DFA5F" w14:textId="62E34BED" w:rsidR="009F421D" w:rsidRPr="00B42F50" w:rsidRDefault="0068474E" w:rsidP="00D31902">
            <w:pPr>
              <w:jc w:val="both"/>
              <w:rPr>
                <w:sz w:val="22"/>
                <w:szCs w:val="22"/>
              </w:rPr>
            </w:pPr>
            <w:r>
              <w:rPr>
                <w:sz w:val="22"/>
                <w:szCs w:val="22"/>
              </w:rPr>
              <w:t>Arvestatud</w:t>
            </w:r>
          </w:p>
        </w:tc>
        <w:tc>
          <w:tcPr>
            <w:tcW w:w="2977" w:type="dxa"/>
          </w:tcPr>
          <w:p w14:paraId="44FAE61A" w14:textId="7087212A" w:rsidR="00365647" w:rsidRPr="00B42F50" w:rsidRDefault="00365647" w:rsidP="00D31902">
            <w:pPr>
              <w:jc w:val="both"/>
              <w:rPr>
                <w:sz w:val="22"/>
                <w:szCs w:val="22"/>
              </w:rPr>
            </w:pPr>
          </w:p>
        </w:tc>
      </w:tr>
      <w:tr w:rsidR="00A04496" w:rsidRPr="00B42F50" w14:paraId="3841D37E" w14:textId="77777777" w:rsidTr="00442C35">
        <w:tc>
          <w:tcPr>
            <w:tcW w:w="880" w:type="dxa"/>
          </w:tcPr>
          <w:p w14:paraId="5CD105A8" w14:textId="2B741473" w:rsidR="00003B1A" w:rsidRDefault="00003B1A" w:rsidP="00D31902">
            <w:pPr>
              <w:jc w:val="both"/>
              <w:rPr>
                <w:b/>
                <w:sz w:val="22"/>
                <w:szCs w:val="22"/>
              </w:rPr>
            </w:pPr>
            <w:r>
              <w:rPr>
                <w:b/>
                <w:sz w:val="22"/>
                <w:szCs w:val="22"/>
              </w:rPr>
              <w:t>5.</w:t>
            </w:r>
          </w:p>
          <w:p w14:paraId="6272941C" w14:textId="562176A2" w:rsidR="009F421D" w:rsidRPr="00B42F50" w:rsidRDefault="004D258A" w:rsidP="00D31902">
            <w:pPr>
              <w:jc w:val="both"/>
              <w:rPr>
                <w:b/>
                <w:sz w:val="22"/>
                <w:szCs w:val="22"/>
              </w:rPr>
            </w:pPr>
            <w:r w:rsidRPr="00B42F50">
              <w:rPr>
                <w:b/>
                <w:sz w:val="22"/>
                <w:szCs w:val="22"/>
              </w:rPr>
              <w:t>FI</w:t>
            </w:r>
          </w:p>
        </w:tc>
        <w:tc>
          <w:tcPr>
            <w:tcW w:w="5528" w:type="dxa"/>
          </w:tcPr>
          <w:p w14:paraId="60A8DBC6" w14:textId="3861437D" w:rsidR="009F421D" w:rsidRPr="00B42F50" w:rsidRDefault="00D45726" w:rsidP="00D31902">
            <w:pPr>
              <w:jc w:val="both"/>
              <w:rPr>
                <w:sz w:val="22"/>
                <w:szCs w:val="22"/>
              </w:rPr>
            </w:pPr>
            <w:r w:rsidRPr="008F062F">
              <w:rPr>
                <w:sz w:val="22"/>
                <w:szCs w:val="22"/>
              </w:rPr>
              <w:t>5.</w:t>
            </w:r>
            <w:r w:rsidRPr="00B42F50">
              <w:rPr>
                <w:sz w:val="22"/>
                <w:szCs w:val="22"/>
              </w:rPr>
              <w:t xml:space="preserve"> Finantsinspektsioon märgib, et KKELS § 10 lõikes 3 peab „Finantsinspektsiooni kriisilahendusüksus“ asemel olema „Finantsinspektsiooni finantsjärelevalveüksus“. </w:t>
            </w:r>
          </w:p>
        </w:tc>
        <w:tc>
          <w:tcPr>
            <w:tcW w:w="1276" w:type="dxa"/>
          </w:tcPr>
          <w:p w14:paraId="49042075" w14:textId="59F110A6" w:rsidR="009F421D" w:rsidRPr="00B42F50" w:rsidRDefault="00DC4789" w:rsidP="00D31902">
            <w:pPr>
              <w:jc w:val="both"/>
              <w:rPr>
                <w:sz w:val="22"/>
                <w:szCs w:val="22"/>
              </w:rPr>
            </w:pPr>
            <w:r w:rsidRPr="00B42F50">
              <w:rPr>
                <w:sz w:val="22"/>
                <w:szCs w:val="22"/>
              </w:rPr>
              <w:t>Arvestatud</w:t>
            </w:r>
          </w:p>
        </w:tc>
        <w:tc>
          <w:tcPr>
            <w:tcW w:w="2977" w:type="dxa"/>
          </w:tcPr>
          <w:p w14:paraId="3E5E0710" w14:textId="77777777" w:rsidR="009F421D" w:rsidRPr="00B42F50" w:rsidRDefault="009F421D" w:rsidP="00D31902">
            <w:pPr>
              <w:jc w:val="both"/>
              <w:rPr>
                <w:sz w:val="22"/>
                <w:szCs w:val="22"/>
              </w:rPr>
            </w:pPr>
          </w:p>
        </w:tc>
      </w:tr>
      <w:tr w:rsidR="00A04496" w:rsidRPr="00B42F50" w14:paraId="46BC0C92" w14:textId="77777777" w:rsidTr="00442C35">
        <w:tc>
          <w:tcPr>
            <w:tcW w:w="880" w:type="dxa"/>
          </w:tcPr>
          <w:p w14:paraId="2056092B" w14:textId="1F415B7E" w:rsidR="00003B1A" w:rsidRDefault="00003B1A" w:rsidP="00D31902">
            <w:pPr>
              <w:jc w:val="both"/>
              <w:rPr>
                <w:b/>
                <w:sz w:val="22"/>
                <w:szCs w:val="22"/>
              </w:rPr>
            </w:pPr>
            <w:r>
              <w:rPr>
                <w:b/>
                <w:sz w:val="22"/>
                <w:szCs w:val="22"/>
              </w:rPr>
              <w:t>6.</w:t>
            </w:r>
          </w:p>
          <w:p w14:paraId="505B6B14" w14:textId="2C7BB185" w:rsidR="009F421D" w:rsidRPr="00B42F50" w:rsidRDefault="004D258A" w:rsidP="00D31902">
            <w:pPr>
              <w:jc w:val="both"/>
              <w:rPr>
                <w:b/>
                <w:sz w:val="22"/>
                <w:szCs w:val="22"/>
              </w:rPr>
            </w:pPr>
            <w:r w:rsidRPr="00B42F50">
              <w:rPr>
                <w:b/>
                <w:sz w:val="22"/>
                <w:szCs w:val="22"/>
              </w:rPr>
              <w:t>FI</w:t>
            </w:r>
          </w:p>
        </w:tc>
        <w:tc>
          <w:tcPr>
            <w:tcW w:w="5528" w:type="dxa"/>
          </w:tcPr>
          <w:p w14:paraId="5E27C417" w14:textId="3525F31B" w:rsidR="009F421D" w:rsidRPr="00B42F50" w:rsidRDefault="001B2481" w:rsidP="00D31902">
            <w:pPr>
              <w:jc w:val="both"/>
              <w:rPr>
                <w:sz w:val="22"/>
                <w:szCs w:val="22"/>
              </w:rPr>
            </w:pPr>
            <w:r w:rsidRPr="008F062F">
              <w:rPr>
                <w:sz w:val="22"/>
                <w:szCs w:val="22"/>
              </w:rPr>
              <w:t>6.</w:t>
            </w:r>
            <w:r w:rsidRPr="00B42F50">
              <w:rPr>
                <w:sz w:val="22"/>
                <w:szCs w:val="22"/>
              </w:rPr>
              <w:t xml:space="preserve"> Finantsinspektsioon juhib tähelepanu, et KKELS § 67 lõike 7 kohaselt teabevahetuse suhtes Finantsinspektsiooni </w:t>
            </w:r>
            <w:r w:rsidRPr="00B42F50">
              <w:rPr>
                <w:sz w:val="22"/>
                <w:szCs w:val="22"/>
              </w:rPr>
              <w:lastRenderedPageBreak/>
              <w:t xml:space="preserve">kriisilahendusüksuse ning Maksu- ja Tolliameti vahel kohaldatakse Finantsinspektsiooni seaduse § 53 lõike 4 punkti 14 ja lõiget 48. Finantsinspektsioon palub parandada viidet selliselt, et FIS § 53 asemel on FIS § 54. </w:t>
            </w:r>
          </w:p>
        </w:tc>
        <w:tc>
          <w:tcPr>
            <w:tcW w:w="1276" w:type="dxa"/>
          </w:tcPr>
          <w:p w14:paraId="369AA0CA" w14:textId="523F1439" w:rsidR="009F421D" w:rsidRPr="00B42F50" w:rsidRDefault="00DD6DB9" w:rsidP="00D31902">
            <w:pPr>
              <w:jc w:val="both"/>
              <w:rPr>
                <w:sz w:val="22"/>
                <w:szCs w:val="22"/>
              </w:rPr>
            </w:pPr>
            <w:r w:rsidRPr="00B42F50">
              <w:rPr>
                <w:sz w:val="22"/>
                <w:szCs w:val="22"/>
              </w:rPr>
              <w:lastRenderedPageBreak/>
              <w:t>Arvestatud</w:t>
            </w:r>
          </w:p>
        </w:tc>
        <w:tc>
          <w:tcPr>
            <w:tcW w:w="2977" w:type="dxa"/>
          </w:tcPr>
          <w:p w14:paraId="65173794" w14:textId="77777777" w:rsidR="009F421D" w:rsidRPr="00B42F50" w:rsidRDefault="009F421D" w:rsidP="00D31902">
            <w:pPr>
              <w:jc w:val="both"/>
              <w:rPr>
                <w:sz w:val="22"/>
                <w:szCs w:val="22"/>
              </w:rPr>
            </w:pPr>
          </w:p>
        </w:tc>
      </w:tr>
      <w:tr w:rsidR="00A04496" w:rsidRPr="00B42F50" w14:paraId="7972F953" w14:textId="77777777" w:rsidTr="00442C35">
        <w:tc>
          <w:tcPr>
            <w:tcW w:w="880" w:type="dxa"/>
          </w:tcPr>
          <w:p w14:paraId="4DDD1A14" w14:textId="295FB0D7" w:rsidR="00003B1A" w:rsidRDefault="00003B1A" w:rsidP="00D31902">
            <w:pPr>
              <w:jc w:val="both"/>
              <w:rPr>
                <w:b/>
                <w:sz w:val="22"/>
                <w:szCs w:val="22"/>
              </w:rPr>
            </w:pPr>
            <w:r>
              <w:rPr>
                <w:b/>
                <w:sz w:val="22"/>
                <w:szCs w:val="22"/>
              </w:rPr>
              <w:t>7.</w:t>
            </w:r>
          </w:p>
          <w:p w14:paraId="08037B63" w14:textId="7D981150" w:rsidR="009F421D" w:rsidRPr="00B42F50" w:rsidRDefault="004D258A" w:rsidP="00D31902">
            <w:pPr>
              <w:jc w:val="both"/>
              <w:rPr>
                <w:b/>
                <w:sz w:val="22"/>
                <w:szCs w:val="22"/>
              </w:rPr>
            </w:pPr>
            <w:r w:rsidRPr="00B42F50">
              <w:rPr>
                <w:b/>
                <w:sz w:val="22"/>
                <w:szCs w:val="22"/>
              </w:rPr>
              <w:t>FI</w:t>
            </w:r>
          </w:p>
        </w:tc>
        <w:tc>
          <w:tcPr>
            <w:tcW w:w="5528" w:type="dxa"/>
          </w:tcPr>
          <w:p w14:paraId="08A130E0" w14:textId="3707B09F" w:rsidR="009F421D" w:rsidRPr="00B42F50" w:rsidRDefault="00413214" w:rsidP="00D31902">
            <w:pPr>
              <w:jc w:val="both"/>
              <w:rPr>
                <w:sz w:val="22"/>
                <w:szCs w:val="22"/>
              </w:rPr>
            </w:pPr>
            <w:r w:rsidRPr="008F062F">
              <w:rPr>
                <w:sz w:val="22"/>
                <w:szCs w:val="22"/>
              </w:rPr>
              <w:t>7.</w:t>
            </w:r>
            <w:r w:rsidRPr="00B42F50">
              <w:rPr>
                <w:sz w:val="22"/>
                <w:szCs w:val="22"/>
              </w:rPr>
              <w:t xml:space="preserve"> </w:t>
            </w:r>
            <w:r w:rsidR="00CF26B7" w:rsidRPr="00B42F50">
              <w:rPr>
                <w:sz w:val="22"/>
                <w:szCs w:val="22"/>
              </w:rPr>
              <w:t xml:space="preserve">KKELS § 66 lõikes 5 on eraldi on välja toodud, et kui kriisilahenduses oleva ettevõtja omandiõiguse instrumendid või võlainstrumendid ei ole võetud reguleeritud väärtpaberiturul kauplemisele, siis Finantsinspektsiooni kriisilahendusüksus tagab, et teade kriisilahenduse algatamise kohta saadetakse kriisilahenduses oleva ettevõtja teadaolevatele omanikele ja võlausaldajatele, kelle andmed on Finantsinspektsioon kriisilahendusüksusele kättesaadavad selle ettevõtja registrite või andmebaaside alusel. Sama paragrahvi ülejäänud lõigetes lasub avaldamisega seotud kohustus Finantsinspektsioonil. Finantsinspektsiooni hinnangul ei tulene hetkel seaduse tekstist ega seletuskirjast, miks KKELS § 66 lõikes 5 toodud info avaldamise eest vastutab üksnes Finantsinspektsiooni kriisilahendusüksus ja kõik ülejäänud teated peab avaldama Finantsinspektsioon. </w:t>
            </w:r>
          </w:p>
        </w:tc>
        <w:tc>
          <w:tcPr>
            <w:tcW w:w="1276" w:type="dxa"/>
          </w:tcPr>
          <w:p w14:paraId="2ADCC5C9" w14:textId="4D46B8F6" w:rsidR="009F421D" w:rsidRPr="00B42F50" w:rsidRDefault="00A02322" w:rsidP="00D31902">
            <w:pPr>
              <w:jc w:val="both"/>
              <w:rPr>
                <w:sz w:val="22"/>
                <w:szCs w:val="22"/>
              </w:rPr>
            </w:pPr>
            <w:r w:rsidRPr="00B42F50">
              <w:rPr>
                <w:sz w:val="22"/>
                <w:szCs w:val="22"/>
              </w:rPr>
              <w:t>Selgitatud</w:t>
            </w:r>
          </w:p>
        </w:tc>
        <w:tc>
          <w:tcPr>
            <w:tcW w:w="2977" w:type="dxa"/>
          </w:tcPr>
          <w:p w14:paraId="057592A3" w14:textId="58925CB2" w:rsidR="00273666" w:rsidRPr="00B42F50" w:rsidRDefault="009611DC" w:rsidP="00D31902">
            <w:pPr>
              <w:jc w:val="both"/>
              <w:rPr>
                <w:sz w:val="22"/>
                <w:szCs w:val="22"/>
              </w:rPr>
            </w:pPr>
            <w:r w:rsidRPr="00B42F50">
              <w:rPr>
                <w:sz w:val="22"/>
                <w:szCs w:val="22"/>
              </w:rPr>
              <w:t xml:space="preserve">Kuna teave avaldatakse Finantsinspektsiooni veebilehel ning mitte eraldi Finantsinspektsiooni kriisilahendusüksuse </w:t>
            </w:r>
            <w:r w:rsidR="00F2460C" w:rsidRPr="00B42F50">
              <w:rPr>
                <w:sz w:val="22"/>
                <w:szCs w:val="22"/>
              </w:rPr>
              <w:t>või järelevalveüksuse veebilehel, siis on ka üldistatult</w:t>
            </w:r>
            <w:r w:rsidR="00273666" w:rsidRPr="00B42F50">
              <w:rPr>
                <w:sz w:val="22"/>
                <w:szCs w:val="22"/>
              </w:rPr>
              <w:t xml:space="preserve"> viidatud</w:t>
            </w:r>
            <w:r w:rsidR="00F2460C" w:rsidRPr="00B42F50">
              <w:rPr>
                <w:sz w:val="22"/>
                <w:szCs w:val="22"/>
              </w:rPr>
              <w:t>, et avaldamise kohustus on Finantsinspektsioonil.</w:t>
            </w:r>
            <w:r w:rsidR="003B7184" w:rsidRPr="00B42F50">
              <w:rPr>
                <w:sz w:val="22"/>
                <w:szCs w:val="22"/>
              </w:rPr>
              <w:t xml:space="preserve"> </w:t>
            </w:r>
            <w:r w:rsidR="00016D5B" w:rsidRPr="00B42F50">
              <w:rPr>
                <w:sz w:val="22"/>
                <w:szCs w:val="22"/>
              </w:rPr>
              <w:t>H</w:t>
            </w:r>
            <w:r w:rsidR="003B7184" w:rsidRPr="00B42F50">
              <w:rPr>
                <w:sz w:val="22"/>
                <w:szCs w:val="22"/>
              </w:rPr>
              <w:t xml:space="preserve">aldusakti </w:t>
            </w:r>
            <w:r w:rsidR="00016D5B" w:rsidRPr="00B42F50">
              <w:rPr>
                <w:sz w:val="22"/>
                <w:szCs w:val="22"/>
              </w:rPr>
              <w:t xml:space="preserve">annab </w:t>
            </w:r>
            <w:r w:rsidR="00B57C35" w:rsidRPr="00B42F50">
              <w:rPr>
                <w:sz w:val="22"/>
                <w:szCs w:val="22"/>
              </w:rPr>
              <w:t>välja Finantsinspektsioon, mistõ</w:t>
            </w:r>
            <w:r w:rsidR="00016D5B" w:rsidRPr="00B42F50">
              <w:rPr>
                <w:sz w:val="22"/>
                <w:szCs w:val="22"/>
              </w:rPr>
              <w:t>ttu on asjakohane viidata ka selle avaldamise puhul Finantsinspektsioonile</w:t>
            </w:r>
            <w:r w:rsidR="00EB7C07">
              <w:rPr>
                <w:sz w:val="22"/>
                <w:szCs w:val="22"/>
              </w:rPr>
              <w:t xml:space="preserve"> ning mitte eraldi üksustele</w:t>
            </w:r>
            <w:r w:rsidR="00016D5B" w:rsidRPr="00B42F50">
              <w:rPr>
                <w:sz w:val="22"/>
                <w:szCs w:val="22"/>
              </w:rPr>
              <w:t>.</w:t>
            </w:r>
          </w:p>
          <w:p w14:paraId="729C83A3" w14:textId="19C5E57A" w:rsidR="00A02322" w:rsidRPr="00B42F50" w:rsidRDefault="00A02322" w:rsidP="00D31902">
            <w:pPr>
              <w:jc w:val="both"/>
              <w:rPr>
                <w:i/>
                <w:iCs/>
                <w:sz w:val="22"/>
                <w:szCs w:val="22"/>
              </w:rPr>
            </w:pPr>
          </w:p>
        </w:tc>
      </w:tr>
      <w:tr w:rsidR="00A04496" w:rsidRPr="00B42F50" w14:paraId="1E9E197C" w14:textId="77777777" w:rsidTr="00442C35">
        <w:tc>
          <w:tcPr>
            <w:tcW w:w="880" w:type="dxa"/>
          </w:tcPr>
          <w:p w14:paraId="4CB66989" w14:textId="570FE732" w:rsidR="00003B1A" w:rsidRDefault="00003B1A" w:rsidP="00D31902">
            <w:pPr>
              <w:jc w:val="both"/>
              <w:rPr>
                <w:b/>
                <w:sz w:val="22"/>
                <w:szCs w:val="22"/>
              </w:rPr>
            </w:pPr>
            <w:r>
              <w:rPr>
                <w:b/>
                <w:sz w:val="22"/>
                <w:szCs w:val="22"/>
              </w:rPr>
              <w:t>8.</w:t>
            </w:r>
          </w:p>
          <w:p w14:paraId="4AD3E1C2" w14:textId="63FBC4B6" w:rsidR="009F421D" w:rsidRPr="00B42F50" w:rsidRDefault="004D258A" w:rsidP="00D31902">
            <w:pPr>
              <w:jc w:val="both"/>
              <w:rPr>
                <w:b/>
                <w:sz w:val="22"/>
                <w:szCs w:val="22"/>
              </w:rPr>
            </w:pPr>
            <w:r w:rsidRPr="00B42F50">
              <w:rPr>
                <w:b/>
                <w:sz w:val="22"/>
                <w:szCs w:val="22"/>
              </w:rPr>
              <w:t>FI</w:t>
            </w:r>
          </w:p>
        </w:tc>
        <w:tc>
          <w:tcPr>
            <w:tcW w:w="5528" w:type="dxa"/>
          </w:tcPr>
          <w:p w14:paraId="3D88AC03" w14:textId="0006FAB3" w:rsidR="009F421D" w:rsidRPr="00B42F50" w:rsidRDefault="005646FC" w:rsidP="00D31902">
            <w:pPr>
              <w:jc w:val="both"/>
              <w:rPr>
                <w:sz w:val="22"/>
                <w:szCs w:val="22"/>
              </w:rPr>
            </w:pPr>
            <w:r w:rsidRPr="008F062F">
              <w:rPr>
                <w:sz w:val="22"/>
                <w:szCs w:val="22"/>
              </w:rPr>
              <w:t>8.</w:t>
            </w:r>
            <w:r w:rsidRPr="00B42F50">
              <w:rPr>
                <w:sz w:val="22"/>
                <w:szCs w:val="22"/>
              </w:rPr>
              <w:t xml:space="preserve"> KKELS § 27 lõigetes 4 ja 5 on sätestatud, et pankrotimenetlust ei algatata enne, kui kriisilahendusüksusel on olnud võimalus otsustada, kas nad sekkuvad. Finantsinspektsioon on seisukohal, et pankrotimenetluse esitamise võimalus peaks olema Finantsinspektsioonil kui kriisilahendusasutusel/organisatsioonil, mitte selle teatud struktuuriüksusel. </w:t>
            </w:r>
          </w:p>
        </w:tc>
        <w:tc>
          <w:tcPr>
            <w:tcW w:w="1276" w:type="dxa"/>
          </w:tcPr>
          <w:p w14:paraId="3F3BD571" w14:textId="77AED7D0" w:rsidR="009F421D" w:rsidRPr="00B42F50" w:rsidRDefault="00C570B2" w:rsidP="00D31902">
            <w:pPr>
              <w:jc w:val="center"/>
              <w:rPr>
                <w:sz w:val="22"/>
                <w:szCs w:val="22"/>
              </w:rPr>
            </w:pPr>
            <w:r w:rsidRPr="00B42F50">
              <w:rPr>
                <w:sz w:val="22"/>
                <w:szCs w:val="22"/>
              </w:rPr>
              <w:t>Osalis</w:t>
            </w:r>
            <w:r w:rsidR="00F839F0" w:rsidRPr="00B42F50">
              <w:rPr>
                <w:sz w:val="22"/>
                <w:szCs w:val="22"/>
              </w:rPr>
              <w:t>elt arvestatud</w:t>
            </w:r>
          </w:p>
        </w:tc>
        <w:tc>
          <w:tcPr>
            <w:tcW w:w="2977" w:type="dxa"/>
          </w:tcPr>
          <w:p w14:paraId="75782E88" w14:textId="6E952DC9" w:rsidR="009F421D" w:rsidRPr="00B42F50" w:rsidRDefault="00F839F0" w:rsidP="00D31902">
            <w:pPr>
              <w:jc w:val="both"/>
              <w:rPr>
                <w:sz w:val="22"/>
                <w:szCs w:val="22"/>
                <w:highlight w:val="yellow"/>
              </w:rPr>
            </w:pPr>
            <w:r w:rsidRPr="00B42F50">
              <w:rPr>
                <w:sz w:val="22"/>
                <w:szCs w:val="22"/>
              </w:rPr>
              <w:t xml:space="preserve">Leiame, et lõike 4 </w:t>
            </w:r>
            <w:r w:rsidR="005D0108" w:rsidRPr="00B42F50">
              <w:rPr>
                <w:sz w:val="22"/>
                <w:szCs w:val="22"/>
              </w:rPr>
              <w:t>puhul</w:t>
            </w:r>
            <w:r w:rsidRPr="00B42F50">
              <w:rPr>
                <w:sz w:val="22"/>
                <w:szCs w:val="22"/>
              </w:rPr>
              <w:t xml:space="preserve"> on </w:t>
            </w:r>
            <w:r w:rsidR="00A70448" w:rsidRPr="00B42F50">
              <w:rPr>
                <w:sz w:val="22"/>
                <w:szCs w:val="22"/>
              </w:rPr>
              <w:t xml:space="preserve">asjakohane viidata Finantsinspektsioonile, kuid meie hinnangul </w:t>
            </w:r>
            <w:r w:rsidR="005D0108" w:rsidRPr="00B42F50">
              <w:rPr>
                <w:sz w:val="22"/>
                <w:szCs w:val="22"/>
              </w:rPr>
              <w:t xml:space="preserve">peaks lõikesse 5 jääma viide kriisilahendusüksusele, kuna </w:t>
            </w:r>
            <w:r w:rsidR="00E04E77" w:rsidRPr="00B42F50">
              <w:rPr>
                <w:sz w:val="22"/>
                <w:szCs w:val="22"/>
              </w:rPr>
              <w:t>antud juhul</w:t>
            </w:r>
            <w:r w:rsidR="00C05C07" w:rsidRPr="00B42F50">
              <w:rPr>
                <w:sz w:val="22"/>
                <w:szCs w:val="22"/>
              </w:rPr>
              <w:t xml:space="preserve"> </w:t>
            </w:r>
            <w:r w:rsidR="00502172" w:rsidRPr="00B42F50">
              <w:rPr>
                <w:sz w:val="22"/>
                <w:szCs w:val="22"/>
              </w:rPr>
              <w:t>on</w:t>
            </w:r>
            <w:r w:rsidR="00C05C07" w:rsidRPr="00B42F50">
              <w:rPr>
                <w:sz w:val="22"/>
                <w:szCs w:val="22"/>
              </w:rPr>
              <w:t xml:space="preserve"> </w:t>
            </w:r>
            <w:r w:rsidR="00420A64" w:rsidRPr="00B42F50">
              <w:rPr>
                <w:sz w:val="22"/>
                <w:szCs w:val="22"/>
              </w:rPr>
              <w:t xml:space="preserve">see </w:t>
            </w:r>
            <w:r w:rsidR="00C05C07" w:rsidRPr="00B42F50">
              <w:rPr>
                <w:sz w:val="22"/>
                <w:szCs w:val="22"/>
              </w:rPr>
              <w:t xml:space="preserve">üksus pädev andma hinnangut, kas </w:t>
            </w:r>
            <w:r w:rsidR="00AD259C" w:rsidRPr="00B42F50">
              <w:rPr>
                <w:sz w:val="22"/>
                <w:szCs w:val="22"/>
              </w:rPr>
              <w:t>nad algatavad kriisilahenduse või mitte.</w:t>
            </w:r>
          </w:p>
        </w:tc>
      </w:tr>
      <w:tr w:rsidR="00A04496" w:rsidRPr="00B42F50" w14:paraId="0912E917" w14:textId="77777777" w:rsidTr="00442C35">
        <w:tc>
          <w:tcPr>
            <w:tcW w:w="880" w:type="dxa"/>
          </w:tcPr>
          <w:p w14:paraId="0060DFE1" w14:textId="182540C2" w:rsidR="00003B1A" w:rsidRDefault="00003B1A" w:rsidP="00D31902">
            <w:pPr>
              <w:jc w:val="both"/>
              <w:rPr>
                <w:b/>
                <w:sz w:val="22"/>
                <w:szCs w:val="22"/>
              </w:rPr>
            </w:pPr>
            <w:r>
              <w:rPr>
                <w:b/>
                <w:sz w:val="22"/>
                <w:szCs w:val="22"/>
              </w:rPr>
              <w:t>9.</w:t>
            </w:r>
          </w:p>
          <w:p w14:paraId="32446A1D" w14:textId="0308B6FE" w:rsidR="009F421D" w:rsidRPr="00B42F50" w:rsidRDefault="004D258A" w:rsidP="00D31902">
            <w:pPr>
              <w:jc w:val="both"/>
              <w:rPr>
                <w:b/>
                <w:sz w:val="22"/>
                <w:szCs w:val="22"/>
              </w:rPr>
            </w:pPr>
            <w:r w:rsidRPr="00B42F50">
              <w:rPr>
                <w:b/>
                <w:sz w:val="22"/>
                <w:szCs w:val="22"/>
              </w:rPr>
              <w:t>FI</w:t>
            </w:r>
          </w:p>
        </w:tc>
        <w:tc>
          <w:tcPr>
            <w:tcW w:w="5528" w:type="dxa"/>
          </w:tcPr>
          <w:p w14:paraId="40E7AC7D" w14:textId="59B4A698" w:rsidR="005E0271" w:rsidRPr="00B42F50" w:rsidRDefault="00F82BD0" w:rsidP="00D31902">
            <w:pPr>
              <w:jc w:val="both"/>
              <w:rPr>
                <w:sz w:val="22"/>
                <w:szCs w:val="22"/>
              </w:rPr>
            </w:pPr>
            <w:r w:rsidRPr="008F062F">
              <w:rPr>
                <w:sz w:val="22"/>
                <w:szCs w:val="22"/>
              </w:rPr>
              <w:t>9.</w:t>
            </w:r>
            <w:r w:rsidRPr="00B42F50">
              <w:rPr>
                <w:sz w:val="22"/>
                <w:szCs w:val="22"/>
              </w:rPr>
              <w:t xml:space="preserve"> </w:t>
            </w:r>
            <w:r w:rsidR="005E0271" w:rsidRPr="00B42F50">
              <w:rPr>
                <w:sz w:val="22"/>
                <w:szCs w:val="22"/>
              </w:rPr>
              <w:t>KindlTS § 123</w:t>
            </w:r>
            <w:r w:rsidR="005E0271" w:rsidRPr="00B42F50">
              <w:rPr>
                <w:sz w:val="22"/>
                <w:szCs w:val="22"/>
                <w:vertAlign w:val="superscript"/>
              </w:rPr>
              <w:t>1</w:t>
            </w:r>
            <w:r w:rsidR="005E0271" w:rsidRPr="00B42F50">
              <w:rPr>
                <w:sz w:val="22"/>
                <w:szCs w:val="22"/>
              </w:rPr>
              <w:t xml:space="preserve"> lõigetes 1 ja 2 sätestatakse, et Finantsinspektsioon võib sektoriüleselt nõuda järelevalvelise aruande (RSR) sagedasemat esitamist. Finantsinspektsioonile jääb ebaselgeks, miks peaks Finantsinspektsiooni regulaarse järelevalvelise aruande (RSR) sagedasema esitamise otsus olema sektoriülene. Finantsinspektsiooni ettepanek on jätta KindlTS § 123</w:t>
            </w:r>
            <w:r w:rsidR="005E0271" w:rsidRPr="00B42F50">
              <w:rPr>
                <w:sz w:val="22"/>
                <w:szCs w:val="22"/>
                <w:vertAlign w:val="superscript"/>
              </w:rPr>
              <w:t>1</w:t>
            </w:r>
            <w:r w:rsidR="005E0271" w:rsidRPr="00B42F50">
              <w:rPr>
                <w:sz w:val="22"/>
                <w:szCs w:val="22"/>
              </w:rPr>
              <w:t xml:space="preserve"> lõigete 1 ja 2 sõnastusest välja sõna „sektoriüleselt“. </w:t>
            </w:r>
          </w:p>
          <w:p w14:paraId="76CEA1A6" w14:textId="77777777" w:rsidR="006F3910" w:rsidRPr="00B42F50" w:rsidRDefault="006F3910" w:rsidP="00D31902">
            <w:pPr>
              <w:jc w:val="both"/>
              <w:rPr>
                <w:sz w:val="22"/>
                <w:szCs w:val="22"/>
              </w:rPr>
            </w:pPr>
          </w:p>
          <w:p w14:paraId="05A799A1" w14:textId="12D100D8" w:rsidR="009F421D" w:rsidRPr="00B42F50" w:rsidRDefault="005E0271" w:rsidP="00D31902">
            <w:pPr>
              <w:jc w:val="both"/>
              <w:rPr>
                <w:sz w:val="22"/>
                <w:szCs w:val="22"/>
              </w:rPr>
            </w:pPr>
            <w:r w:rsidRPr="00B42F50">
              <w:rPr>
                <w:sz w:val="22"/>
                <w:szCs w:val="22"/>
              </w:rPr>
              <w:t>Direktiivi 2025/2 artikli 35 lõige 5a punkt a) kohaselt võib järelevalveasutus lubada väikeste ja mittekeerukate ettevõtjate puhul RSR esitamist kuni iga viie aasta järel ning sama lõike viimase lõigu kohaselt võib järelevalveasutus vajaduse korral nõuda muudelt kui väikeste ja mittekeerukate kindlustus- ja edasikindlustusandjate puhul sagedasemat aruannete esitamist. Kõnealused sätted ei nõua asjakohaste otsuste tegemisel sektoriülest lähenemist. Võimalus teha aruannete esitamise sageduse osas individuaalseid otsuseid on arvestades Eesti turu suurust paindlikum ja proportsionaalsem, kuid võimaldab vajadusel ka sektoriüleste otsuste tegemist.</w:t>
            </w:r>
          </w:p>
        </w:tc>
        <w:tc>
          <w:tcPr>
            <w:tcW w:w="1276" w:type="dxa"/>
          </w:tcPr>
          <w:p w14:paraId="216076C1" w14:textId="033E06C0" w:rsidR="00F96126" w:rsidRPr="00B42F50" w:rsidRDefault="00AA342B" w:rsidP="00D31902">
            <w:pPr>
              <w:jc w:val="both"/>
              <w:rPr>
                <w:sz w:val="22"/>
                <w:szCs w:val="22"/>
              </w:rPr>
            </w:pPr>
            <w:r w:rsidRPr="00B42F50">
              <w:rPr>
                <w:sz w:val="22"/>
                <w:szCs w:val="22"/>
              </w:rPr>
              <w:t>Arvestatud</w:t>
            </w:r>
          </w:p>
          <w:p w14:paraId="09BD66B8" w14:textId="4A8402A5" w:rsidR="009F421D" w:rsidRPr="00B42F50" w:rsidRDefault="009F421D" w:rsidP="00D31902">
            <w:pPr>
              <w:jc w:val="both"/>
              <w:rPr>
                <w:sz w:val="22"/>
                <w:szCs w:val="22"/>
              </w:rPr>
            </w:pPr>
          </w:p>
        </w:tc>
        <w:tc>
          <w:tcPr>
            <w:tcW w:w="2977" w:type="dxa"/>
          </w:tcPr>
          <w:p w14:paraId="386EEC5E" w14:textId="520B6083" w:rsidR="00D075C4" w:rsidRPr="00B42F50" w:rsidRDefault="00AA342B" w:rsidP="00D31902">
            <w:pPr>
              <w:jc w:val="both"/>
              <w:rPr>
                <w:sz w:val="22"/>
                <w:szCs w:val="22"/>
              </w:rPr>
            </w:pPr>
            <w:r w:rsidRPr="00B42F50">
              <w:rPr>
                <w:sz w:val="22"/>
                <w:szCs w:val="22"/>
              </w:rPr>
              <w:t>Solventsus II direktiivi ülevõtmise töögrupis tõstatati liikmesriigi poolt järgmine küsimus:</w:t>
            </w:r>
            <w:r w:rsidR="00C43718" w:rsidRPr="00B42F50">
              <w:rPr>
                <w:sz w:val="22"/>
                <w:szCs w:val="22"/>
              </w:rPr>
              <w:t xml:space="preserve"> </w:t>
            </w:r>
            <w:r w:rsidRPr="00B42F50">
              <w:rPr>
                <w:sz w:val="22"/>
                <w:szCs w:val="22"/>
              </w:rPr>
              <w:t>„</w:t>
            </w:r>
            <w:r w:rsidRPr="00B42F50">
              <w:rPr>
                <w:i/>
                <w:iCs/>
                <w:sz w:val="22"/>
                <w:szCs w:val="22"/>
                <w:lang w:val="en-GB"/>
              </w:rPr>
              <w:t>In order for small and non-complex undertakings (SNCUs) to submit the Regular Supervisory</w:t>
            </w:r>
            <w:r w:rsidR="00C43718" w:rsidRPr="00B42F50">
              <w:rPr>
                <w:i/>
                <w:iCs/>
                <w:sz w:val="22"/>
                <w:szCs w:val="22"/>
                <w:lang w:val="en-GB"/>
              </w:rPr>
              <w:t xml:space="preserve"> </w:t>
            </w:r>
            <w:r w:rsidRPr="00B42F50">
              <w:rPr>
                <w:i/>
                <w:iCs/>
                <w:sz w:val="22"/>
                <w:szCs w:val="22"/>
                <w:lang w:val="en-GB"/>
              </w:rPr>
              <w:t xml:space="preserve">Report (RSR) up to every five years, do they require in addition to their classification as SNCU, permission from their supervisory authority </w:t>
            </w:r>
            <w:r w:rsidRPr="00B42F50">
              <w:rPr>
                <w:i/>
                <w:iCs/>
                <w:sz w:val="22"/>
                <w:szCs w:val="22"/>
                <w:u w:val="single"/>
                <w:lang w:val="en-GB"/>
              </w:rPr>
              <w:t>on a case-by-case basis</w:t>
            </w:r>
            <w:r w:rsidRPr="00B42F50">
              <w:rPr>
                <w:i/>
                <w:iCs/>
                <w:sz w:val="22"/>
                <w:szCs w:val="22"/>
                <w:lang w:val="en-GB"/>
              </w:rPr>
              <w:t xml:space="preserve"> (i.e. an undertaking</w:t>
            </w:r>
            <w:r w:rsidR="007B160D" w:rsidRPr="00B42F50">
              <w:rPr>
                <w:i/>
                <w:iCs/>
                <w:sz w:val="22"/>
                <w:szCs w:val="22"/>
                <w:lang w:val="en-GB"/>
              </w:rPr>
              <w:t>-</w:t>
            </w:r>
            <w:r w:rsidRPr="00B42F50">
              <w:rPr>
                <w:i/>
                <w:iCs/>
                <w:sz w:val="22"/>
                <w:szCs w:val="22"/>
                <w:lang w:val="en-GB"/>
              </w:rPr>
              <w:t>specific permission</w:t>
            </w:r>
            <w:proofErr w:type="gramStart"/>
            <w:r w:rsidRPr="00B42F50">
              <w:rPr>
                <w:i/>
                <w:iCs/>
                <w:sz w:val="22"/>
                <w:szCs w:val="22"/>
                <w:lang w:val="en-GB"/>
              </w:rPr>
              <w:t>)?“</w:t>
            </w:r>
            <w:proofErr w:type="gramEnd"/>
            <w:r w:rsidRPr="00B42F50">
              <w:rPr>
                <w:i/>
                <w:iCs/>
                <w:sz w:val="22"/>
                <w:szCs w:val="22"/>
                <w:lang w:val="en-GB"/>
              </w:rPr>
              <w:t>,</w:t>
            </w:r>
            <w:r w:rsidRPr="00B42F50">
              <w:rPr>
                <w:sz w:val="22"/>
                <w:szCs w:val="22"/>
              </w:rPr>
              <w:t xml:space="preserve"> mille peale </w:t>
            </w:r>
            <w:r w:rsidR="00D0099D" w:rsidRPr="00B42F50">
              <w:rPr>
                <w:sz w:val="22"/>
                <w:szCs w:val="22"/>
              </w:rPr>
              <w:t>K</w:t>
            </w:r>
            <w:r w:rsidRPr="00B42F50">
              <w:rPr>
                <w:sz w:val="22"/>
                <w:szCs w:val="22"/>
              </w:rPr>
              <w:t xml:space="preserve">omisjon vastas suuliselt, et see on sektoriülene otsus. </w:t>
            </w:r>
            <w:r w:rsidR="00AF2FD7" w:rsidRPr="00B42F50">
              <w:rPr>
                <w:sz w:val="22"/>
                <w:szCs w:val="22"/>
              </w:rPr>
              <w:t xml:space="preserve">Sellest lähtusime ka sätte sõnastamisel. </w:t>
            </w:r>
            <w:r w:rsidR="00C3391C" w:rsidRPr="00B42F50">
              <w:rPr>
                <w:sz w:val="22"/>
                <w:szCs w:val="22"/>
              </w:rPr>
              <w:t xml:space="preserve">Hiljem on </w:t>
            </w:r>
            <w:r w:rsidR="00B0128A">
              <w:rPr>
                <w:sz w:val="22"/>
                <w:szCs w:val="22"/>
              </w:rPr>
              <w:t xml:space="preserve">Euroopa </w:t>
            </w:r>
            <w:r w:rsidR="00C3391C" w:rsidRPr="00B42F50">
              <w:rPr>
                <w:sz w:val="22"/>
                <w:szCs w:val="22"/>
              </w:rPr>
              <w:t xml:space="preserve">Komisjon selgitanud, et liikmesriik saab ise otsustada, kas see otsus on </w:t>
            </w:r>
            <w:r w:rsidR="00D075C4" w:rsidRPr="00B42F50">
              <w:rPr>
                <w:sz w:val="22"/>
                <w:szCs w:val="22"/>
              </w:rPr>
              <w:t xml:space="preserve">sektoriülene või individuaalne. </w:t>
            </w:r>
          </w:p>
          <w:p w14:paraId="461FAC9B" w14:textId="77777777" w:rsidR="00794F77" w:rsidRPr="00B42F50" w:rsidRDefault="00794F77" w:rsidP="00D31902">
            <w:pPr>
              <w:jc w:val="both"/>
              <w:rPr>
                <w:sz w:val="22"/>
                <w:szCs w:val="22"/>
              </w:rPr>
            </w:pPr>
          </w:p>
          <w:p w14:paraId="421A6148" w14:textId="1440600D" w:rsidR="00A85FB9" w:rsidRPr="00B42F50" w:rsidRDefault="00D075C4" w:rsidP="00D31902">
            <w:pPr>
              <w:jc w:val="both"/>
              <w:rPr>
                <w:sz w:val="22"/>
                <w:szCs w:val="22"/>
              </w:rPr>
            </w:pPr>
            <w:r w:rsidRPr="00B42F50">
              <w:rPr>
                <w:sz w:val="22"/>
                <w:szCs w:val="22"/>
              </w:rPr>
              <w:lastRenderedPageBreak/>
              <w:t>Tulenevalt FI ettepankust</w:t>
            </w:r>
            <w:r w:rsidR="00143FDF" w:rsidRPr="00B42F50">
              <w:rPr>
                <w:sz w:val="22"/>
                <w:szCs w:val="22"/>
              </w:rPr>
              <w:t xml:space="preserve"> ja KOM </w:t>
            </w:r>
            <w:r w:rsidR="00D75091" w:rsidRPr="00B42F50">
              <w:rPr>
                <w:sz w:val="22"/>
                <w:szCs w:val="22"/>
              </w:rPr>
              <w:t>lisa</w:t>
            </w:r>
            <w:r w:rsidR="00143FDF" w:rsidRPr="00B42F50">
              <w:rPr>
                <w:sz w:val="22"/>
                <w:szCs w:val="22"/>
              </w:rPr>
              <w:t>selgitusest</w:t>
            </w:r>
            <w:r w:rsidRPr="00B42F50">
              <w:rPr>
                <w:sz w:val="22"/>
                <w:szCs w:val="22"/>
              </w:rPr>
              <w:t xml:space="preserve"> kustutame </w:t>
            </w:r>
            <w:r w:rsidR="00F96126" w:rsidRPr="00B42F50">
              <w:rPr>
                <w:sz w:val="22"/>
                <w:szCs w:val="22"/>
              </w:rPr>
              <w:t xml:space="preserve">eelnõust viite sektoriülesele otsusele. </w:t>
            </w:r>
            <w:r w:rsidR="002944EC" w:rsidRPr="00B42F50">
              <w:rPr>
                <w:sz w:val="22"/>
                <w:szCs w:val="22"/>
              </w:rPr>
              <w:t xml:space="preserve"> </w:t>
            </w:r>
          </w:p>
        </w:tc>
      </w:tr>
      <w:tr w:rsidR="00A04496" w:rsidRPr="00B42F50" w14:paraId="5887BEF9" w14:textId="77777777" w:rsidTr="00442C35">
        <w:tc>
          <w:tcPr>
            <w:tcW w:w="880" w:type="dxa"/>
          </w:tcPr>
          <w:p w14:paraId="695A0F0C" w14:textId="640C7CF0" w:rsidR="00003B1A" w:rsidRDefault="00790926" w:rsidP="00D31902">
            <w:pPr>
              <w:jc w:val="both"/>
              <w:rPr>
                <w:b/>
                <w:sz w:val="22"/>
                <w:szCs w:val="22"/>
              </w:rPr>
            </w:pPr>
            <w:r>
              <w:rPr>
                <w:b/>
                <w:sz w:val="22"/>
                <w:szCs w:val="22"/>
              </w:rPr>
              <w:lastRenderedPageBreak/>
              <w:t>1</w:t>
            </w:r>
            <w:r w:rsidR="00003B1A">
              <w:rPr>
                <w:b/>
                <w:sz w:val="22"/>
                <w:szCs w:val="22"/>
              </w:rPr>
              <w:t>0.</w:t>
            </w:r>
          </w:p>
          <w:p w14:paraId="3584DA58" w14:textId="12CD4EF0" w:rsidR="009F421D" w:rsidRPr="00B42F50" w:rsidRDefault="004D258A" w:rsidP="00D31902">
            <w:pPr>
              <w:jc w:val="both"/>
              <w:rPr>
                <w:b/>
                <w:sz w:val="22"/>
                <w:szCs w:val="22"/>
              </w:rPr>
            </w:pPr>
            <w:r w:rsidRPr="00B42F50">
              <w:rPr>
                <w:b/>
                <w:sz w:val="22"/>
                <w:szCs w:val="22"/>
              </w:rPr>
              <w:t>FI</w:t>
            </w:r>
          </w:p>
        </w:tc>
        <w:tc>
          <w:tcPr>
            <w:tcW w:w="5528" w:type="dxa"/>
          </w:tcPr>
          <w:p w14:paraId="00D12ECC" w14:textId="14CAE348" w:rsidR="006807D8" w:rsidRPr="00B42F50" w:rsidRDefault="006807D8" w:rsidP="00D31902">
            <w:pPr>
              <w:jc w:val="both"/>
              <w:rPr>
                <w:sz w:val="22"/>
                <w:szCs w:val="22"/>
              </w:rPr>
            </w:pPr>
            <w:r w:rsidRPr="008F062F">
              <w:rPr>
                <w:sz w:val="22"/>
                <w:szCs w:val="22"/>
              </w:rPr>
              <w:t>10.</w:t>
            </w:r>
            <w:r w:rsidRPr="00B42F50">
              <w:rPr>
                <w:sz w:val="22"/>
                <w:szCs w:val="22"/>
              </w:rPr>
              <w:t xml:space="preserve"> Finantsinspektsiooni ettepanek on KindlTS § 123</w:t>
            </w:r>
            <w:r w:rsidRPr="00B42F50">
              <w:rPr>
                <w:sz w:val="22"/>
                <w:szCs w:val="22"/>
                <w:vertAlign w:val="superscript"/>
              </w:rPr>
              <w:t>1</w:t>
            </w:r>
            <w:r w:rsidRPr="00B42F50">
              <w:rPr>
                <w:sz w:val="22"/>
                <w:szCs w:val="22"/>
              </w:rPr>
              <w:t xml:space="preserve"> lõikes 3 kustutada sõna „iga“. </w:t>
            </w:r>
          </w:p>
          <w:p w14:paraId="7C94303A" w14:textId="77777777" w:rsidR="007A29EA" w:rsidRPr="00B42F50" w:rsidRDefault="007A29EA" w:rsidP="00D31902">
            <w:pPr>
              <w:jc w:val="both"/>
              <w:rPr>
                <w:sz w:val="22"/>
                <w:szCs w:val="22"/>
              </w:rPr>
            </w:pPr>
          </w:p>
          <w:p w14:paraId="44B92448" w14:textId="73FCF7FC" w:rsidR="009F421D" w:rsidRPr="00B42F50" w:rsidRDefault="006807D8" w:rsidP="00D31902">
            <w:pPr>
              <w:jc w:val="both"/>
              <w:rPr>
                <w:sz w:val="22"/>
                <w:szCs w:val="22"/>
              </w:rPr>
            </w:pPr>
            <w:r w:rsidRPr="00B42F50">
              <w:rPr>
                <w:sz w:val="22"/>
                <w:szCs w:val="22"/>
              </w:rPr>
              <w:t>Teadaolevalt EIOPA koostab kindlustusandjate järelevalveliste kvantitatiivsete aruannete (EK määrus 2023/894) muudatusi. Ettepanekute kohaselt hakatakse teatud kvartaliaruandeid esitama 2 korda aastas, ainult 2. ja 4. kvartali kohta. Kvartaliaruannete esitamissageduse vähendamine on üks kindlustusandjate aruandluskoormuse vähendamise meetmetest.</w:t>
            </w:r>
          </w:p>
        </w:tc>
        <w:tc>
          <w:tcPr>
            <w:tcW w:w="1276" w:type="dxa"/>
          </w:tcPr>
          <w:p w14:paraId="0DB1AE7C" w14:textId="60D3B34E" w:rsidR="009F421D" w:rsidRPr="00B42F50" w:rsidRDefault="00B9005B" w:rsidP="00D31902">
            <w:pPr>
              <w:jc w:val="both"/>
              <w:rPr>
                <w:sz w:val="22"/>
                <w:szCs w:val="22"/>
              </w:rPr>
            </w:pPr>
            <w:r w:rsidRPr="00B42F50">
              <w:rPr>
                <w:sz w:val="22"/>
                <w:szCs w:val="22"/>
              </w:rPr>
              <w:t>Arvestatud</w:t>
            </w:r>
          </w:p>
        </w:tc>
        <w:tc>
          <w:tcPr>
            <w:tcW w:w="2977" w:type="dxa"/>
          </w:tcPr>
          <w:p w14:paraId="747F73BB" w14:textId="77777777" w:rsidR="009F421D" w:rsidRPr="00B42F50" w:rsidRDefault="009F421D" w:rsidP="00D31902">
            <w:pPr>
              <w:jc w:val="both"/>
              <w:rPr>
                <w:sz w:val="22"/>
                <w:szCs w:val="22"/>
              </w:rPr>
            </w:pPr>
          </w:p>
        </w:tc>
      </w:tr>
      <w:tr w:rsidR="00A04496" w:rsidRPr="00B42F50" w14:paraId="7849BBB2" w14:textId="77777777" w:rsidTr="00442C35">
        <w:tc>
          <w:tcPr>
            <w:tcW w:w="880" w:type="dxa"/>
          </w:tcPr>
          <w:p w14:paraId="23B999C8" w14:textId="067C2C73" w:rsidR="00BA44C2" w:rsidRDefault="00790926" w:rsidP="00D31902">
            <w:pPr>
              <w:jc w:val="both"/>
              <w:rPr>
                <w:b/>
                <w:sz w:val="22"/>
                <w:szCs w:val="22"/>
              </w:rPr>
            </w:pPr>
            <w:r>
              <w:rPr>
                <w:b/>
                <w:sz w:val="22"/>
                <w:szCs w:val="22"/>
              </w:rPr>
              <w:t>1</w:t>
            </w:r>
            <w:r w:rsidR="00BA44C2">
              <w:rPr>
                <w:b/>
                <w:sz w:val="22"/>
                <w:szCs w:val="22"/>
              </w:rPr>
              <w:t>1.</w:t>
            </w:r>
          </w:p>
          <w:p w14:paraId="6AB641FA" w14:textId="3B436655" w:rsidR="009F421D" w:rsidRPr="00B42F50" w:rsidRDefault="004D258A" w:rsidP="00D31902">
            <w:pPr>
              <w:jc w:val="both"/>
              <w:rPr>
                <w:b/>
                <w:sz w:val="22"/>
                <w:szCs w:val="22"/>
              </w:rPr>
            </w:pPr>
            <w:r w:rsidRPr="00B42F50">
              <w:rPr>
                <w:b/>
                <w:sz w:val="22"/>
                <w:szCs w:val="22"/>
              </w:rPr>
              <w:t>FI</w:t>
            </w:r>
          </w:p>
        </w:tc>
        <w:tc>
          <w:tcPr>
            <w:tcW w:w="5528" w:type="dxa"/>
          </w:tcPr>
          <w:p w14:paraId="6D0E06C2" w14:textId="34AB6516" w:rsidR="009F421D" w:rsidRPr="00B42F50" w:rsidRDefault="00B9005B" w:rsidP="00D31902">
            <w:pPr>
              <w:jc w:val="both"/>
              <w:rPr>
                <w:sz w:val="22"/>
                <w:szCs w:val="22"/>
              </w:rPr>
            </w:pPr>
            <w:r w:rsidRPr="008F062F">
              <w:rPr>
                <w:sz w:val="22"/>
                <w:szCs w:val="22"/>
              </w:rPr>
              <w:t>11.</w:t>
            </w:r>
            <w:r w:rsidRPr="00B42F50">
              <w:rPr>
                <w:sz w:val="22"/>
                <w:szCs w:val="22"/>
              </w:rPr>
              <w:t xml:space="preserve"> Finantsinspektsioon juhib tähelepanu, et KindlTS § 123</w:t>
            </w:r>
            <w:r w:rsidRPr="00B42F50">
              <w:rPr>
                <w:sz w:val="22"/>
                <w:szCs w:val="22"/>
                <w:vertAlign w:val="superscript"/>
              </w:rPr>
              <w:t>3</w:t>
            </w:r>
            <w:r w:rsidRPr="00B42F50">
              <w:rPr>
                <w:sz w:val="22"/>
                <w:szCs w:val="22"/>
              </w:rPr>
              <w:t xml:space="preserve"> lõikes 3 peaks kvantitatiivsed aruanded olema mitmuses, praegu on ainsuses. Kvantitatiivsete aruannete aasta ja kvartalipaketis esitatakse mitmeid aruandeid. </w:t>
            </w:r>
          </w:p>
        </w:tc>
        <w:tc>
          <w:tcPr>
            <w:tcW w:w="1276" w:type="dxa"/>
          </w:tcPr>
          <w:p w14:paraId="4E2632BE" w14:textId="1D0EADA3" w:rsidR="009F421D" w:rsidRPr="00B42F50" w:rsidRDefault="00B9005B" w:rsidP="00D31902">
            <w:pPr>
              <w:jc w:val="both"/>
              <w:rPr>
                <w:sz w:val="22"/>
                <w:szCs w:val="22"/>
              </w:rPr>
            </w:pPr>
            <w:r w:rsidRPr="00B42F50">
              <w:rPr>
                <w:sz w:val="22"/>
                <w:szCs w:val="22"/>
              </w:rPr>
              <w:t>Arvestatud</w:t>
            </w:r>
          </w:p>
        </w:tc>
        <w:tc>
          <w:tcPr>
            <w:tcW w:w="2977" w:type="dxa"/>
          </w:tcPr>
          <w:p w14:paraId="2A757D04" w14:textId="77777777" w:rsidR="009F421D" w:rsidRPr="00B42F50" w:rsidRDefault="009F421D" w:rsidP="00D31902">
            <w:pPr>
              <w:jc w:val="both"/>
              <w:rPr>
                <w:sz w:val="22"/>
                <w:szCs w:val="22"/>
              </w:rPr>
            </w:pPr>
          </w:p>
        </w:tc>
      </w:tr>
      <w:tr w:rsidR="00A04496" w:rsidRPr="00B42F50" w14:paraId="3B069A57" w14:textId="77777777" w:rsidTr="00442C35">
        <w:tc>
          <w:tcPr>
            <w:tcW w:w="880" w:type="dxa"/>
          </w:tcPr>
          <w:p w14:paraId="27EE6B03" w14:textId="7CFDDEB5" w:rsidR="00BA44C2" w:rsidRDefault="00790926" w:rsidP="00D31902">
            <w:pPr>
              <w:jc w:val="both"/>
              <w:rPr>
                <w:b/>
                <w:sz w:val="22"/>
                <w:szCs w:val="22"/>
              </w:rPr>
            </w:pPr>
            <w:r>
              <w:rPr>
                <w:b/>
                <w:sz w:val="22"/>
                <w:szCs w:val="22"/>
              </w:rPr>
              <w:t>1</w:t>
            </w:r>
            <w:r w:rsidR="00BA44C2">
              <w:rPr>
                <w:b/>
                <w:sz w:val="22"/>
                <w:szCs w:val="22"/>
              </w:rPr>
              <w:t>2.</w:t>
            </w:r>
          </w:p>
          <w:p w14:paraId="3FB2932D" w14:textId="676EFD0B" w:rsidR="009F421D" w:rsidRPr="00B42F50" w:rsidRDefault="004D258A" w:rsidP="00D31902">
            <w:pPr>
              <w:jc w:val="both"/>
              <w:rPr>
                <w:b/>
                <w:sz w:val="22"/>
                <w:szCs w:val="22"/>
              </w:rPr>
            </w:pPr>
            <w:r w:rsidRPr="00B42F50">
              <w:rPr>
                <w:b/>
                <w:sz w:val="22"/>
                <w:szCs w:val="22"/>
              </w:rPr>
              <w:t>FI</w:t>
            </w:r>
          </w:p>
        </w:tc>
        <w:tc>
          <w:tcPr>
            <w:tcW w:w="5528" w:type="dxa"/>
          </w:tcPr>
          <w:p w14:paraId="1AF6B57E" w14:textId="1CEA710B" w:rsidR="007129C8" w:rsidRPr="00B42F50" w:rsidRDefault="00B9005B" w:rsidP="00D31902">
            <w:pPr>
              <w:jc w:val="both"/>
              <w:rPr>
                <w:sz w:val="22"/>
                <w:szCs w:val="22"/>
              </w:rPr>
            </w:pPr>
            <w:r w:rsidRPr="008F062F">
              <w:rPr>
                <w:sz w:val="22"/>
                <w:szCs w:val="22"/>
              </w:rPr>
              <w:t>12.</w:t>
            </w:r>
            <w:r w:rsidRPr="00B42F50">
              <w:rPr>
                <w:sz w:val="22"/>
                <w:szCs w:val="22"/>
              </w:rPr>
              <w:t xml:space="preserve"> </w:t>
            </w:r>
            <w:r w:rsidR="007129C8" w:rsidRPr="00B42F50">
              <w:rPr>
                <w:sz w:val="22"/>
                <w:szCs w:val="22"/>
              </w:rPr>
              <w:t>Finantsinspektsioon märgib, et KindlTS § 129 lõike 1</w:t>
            </w:r>
            <w:r w:rsidR="007129C8" w:rsidRPr="00B42F50">
              <w:rPr>
                <w:sz w:val="22"/>
                <w:szCs w:val="22"/>
                <w:vertAlign w:val="superscript"/>
              </w:rPr>
              <w:t>2</w:t>
            </w:r>
            <w:r w:rsidR="007129C8" w:rsidRPr="00B42F50">
              <w:rPr>
                <w:sz w:val="22"/>
                <w:szCs w:val="22"/>
              </w:rPr>
              <w:t xml:space="preserve"> sõnastus vajab parandamist: </w:t>
            </w:r>
          </w:p>
          <w:p w14:paraId="40C4F466" w14:textId="059D59C6" w:rsidR="009F421D" w:rsidRPr="00B42F50" w:rsidRDefault="007129C8" w:rsidP="00D31902">
            <w:pPr>
              <w:jc w:val="both"/>
              <w:rPr>
                <w:sz w:val="22"/>
                <w:szCs w:val="22"/>
              </w:rPr>
            </w:pPr>
            <w:r w:rsidRPr="00B42F50">
              <w:rPr>
                <w:sz w:val="22"/>
                <w:szCs w:val="22"/>
              </w:rPr>
              <w:t>(1</w:t>
            </w:r>
            <w:r w:rsidRPr="00B42F50">
              <w:rPr>
                <w:sz w:val="22"/>
                <w:szCs w:val="22"/>
                <w:vertAlign w:val="superscript"/>
              </w:rPr>
              <w:t>2</w:t>
            </w:r>
            <w:r w:rsidRPr="00B42F50">
              <w:rPr>
                <w:sz w:val="22"/>
                <w:szCs w:val="22"/>
              </w:rPr>
              <w:t>) Käesoleva paragrahvi lõikes 11 sätestatud kohustust ei kohaldata väikese ja mittekeeruka kindlustusandja ning väikesele ja mittekeerukale kindlustusgrupi suhtes.</w:t>
            </w:r>
          </w:p>
        </w:tc>
        <w:tc>
          <w:tcPr>
            <w:tcW w:w="1276" w:type="dxa"/>
          </w:tcPr>
          <w:p w14:paraId="5EE0B8BB" w14:textId="16165A4D" w:rsidR="009F421D" w:rsidRPr="00B42F50" w:rsidRDefault="00A8602F" w:rsidP="00D31902">
            <w:pPr>
              <w:jc w:val="both"/>
              <w:rPr>
                <w:sz w:val="22"/>
                <w:szCs w:val="22"/>
              </w:rPr>
            </w:pPr>
            <w:r w:rsidRPr="00B42F50">
              <w:rPr>
                <w:sz w:val="22"/>
                <w:szCs w:val="22"/>
              </w:rPr>
              <w:t>Arvestatud</w:t>
            </w:r>
          </w:p>
        </w:tc>
        <w:tc>
          <w:tcPr>
            <w:tcW w:w="2977" w:type="dxa"/>
          </w:tcPr>
          <w:p w14:paraId="6E1BC94E" w14:textId="77777777" w:rsidR="009F421D" w:rsidRPr="00B42F50" w:rsidRDefault="009F421D" w:rsidP="00D31902">
            <w:pPr>
              <w:jc w:val="both"/>
              <w:rPr>
                <w:sz w:val="22"/>
                <w:szCs w:val="22"/>
              </w:rPr>
            </w:pPr>
          </w:p>
        </w:tc>
      </w:tr>
      <w:tr w:rsidR="00A04496" w:rsidRPr="00B42F50" w14:paraId="28D1D4EE" w14:textId="77777777" w:rsidTr="00442C35">
        <w:tc>
          <w:tcPr>
            <w:tcW w:w="880" w:type="dxa"/>
          </w:tcPr>
          <w:p w14:paraId="36D2FB8F" w14:textId="1D78D245" w:rsidR="00BA44C2" w:rsidRDefault="00790926" w:rsidP="00D31902">
            <w:pPr>
              <w:jc w:val="both"/>
              <w:rPr>
                <w:b/>
                <w:sz w:val="22"/>
                <w:szCs w:val="22"/>
              </w:rPr>
            </w:pPr>
            <w:r>
              <w:rPr>
                <w:b/>
                <w:sz w:val="22"/>
                <w:szCs w:val="22"/>
              </w:rPr>
              <w:t>1</w:t>
            </w:r>
            <w:r w:rsidR="00BA44C2">
              <w:rPr>
                <w:b/>
                <w:sz w:val="22"/>
                <w:szCs w:val="22"/>
              </w:rPr>
              <w:t>3.</w:t>
            </w:r>
          </w:p>
          <w:p w14:paraId="373B14C8" w14:textId="7C1E709C" w:rsidR="009F421D" w:rsidRPr="00B42F50" w:rsidRDefault="004D258A" w:rsidP="00D31902">
            <w:pPr>
              <w:jc w:val="both"/>
              <w:rPr>
                <w:b/>
                <w:sz w:val="22"/>
                <w:szCs w:val="22"/>
              </w:rPr>
            </w:pPr>
            <w:r w:rsidRPr="00B42F50">
              <w:rPr>
                <w:b/>
                <w:sz w:val="22"/>
                <w:szCs w:val="22"/>
              </w:rPr>
              <w:t>FI</w:t>
            </w:r>
          </w:p>
        </w:tc>
        <w:tc>
          <w:tcPr>
            <w:tcW w:w="5528" w:type="dxa"/>
          </w:tcPr>
          <w:p w14:paraId="70990B07" w14:textId="702783DB" w:rsidR="009F421D" w:rsidRPr="00B42F50" w:rsidRDefault="00240B14" w:rsidP="00D31902">
            <w:pPr>
              <w:jc w:val="both"/>
              <w:rPr>
                <w:sz w:val="22"/>
                <w:szCs w:val="22"/>
              </w:rPr>
            </w:pPr>
            <w:r w:rsidRPr="008F062F">
              <w:rPr>
                <w:sz w:val="22"/>
                <w:szCs w:val="22"/>
              </w:rPr>
              <w:t>13.</w:t>
            </w:r>
            <w:r w:rsidRPr="00B42F50">
              <w:rPr>
                <w:sz w:val="22"/>
                <w:szCs w:val="22"/>
              </w:rPr>
              <w:t xml:space="preserve"> Finantsinspektsioonile jääb ebaselgeks, kas KindlTS § 129 lõikes 1</w:t>
            </w:r>
            <w:r w:rsidRPr="00B42F50">
              <w:rPr>
                <w:sz w:val="22"/>
                <w:szCs w:val="22"/>
                <w:vertAlign w:val="superscript"/>
              </w:rPr>
              <w:t>4</w:t>
            </w:r>
            <w:r w:rsidRPr="00B42F50">
              <w:rPr>
                <w:sz w:val="22"/>
                <w:szCs w:val="22"/>
              </w:rPr>
              <w:t xml:space="preserve"> olev viide § 126 lõige 1 punktile 1 on õige või peaks olema § 126</w:t>
            </w:r>
            <w:r w:rsidRPr="00B42F50">
              <w:rPr>
                <w:sz w:val="22"/>
                <w:szCs w:val="22"/>
                <w:vertAlign w:val="superscript"/>
              </w:rPr>
              <w:t>1</w:t>
            </w:r>
            <w:r w:rsidRPr="00B42F50">
              <w:rPr>
                <w:sz w:val="22"/>
                <w:szCs w:val="22"/>
              </w:rPr>
              <w:t xml:space="preserve"> lõige 1 punkt 1. </w:t>
            </w:r>
          </w:p>
        </w:tc>
        <w:tc>
          <w:tcPr>
            <w:tcW w:w="1276" w:type="dxa"/>
          </w:tcPr>
          <w:p w14:paraId="3A490B99" w14:textId="05F63CA7" w:rsidR="009F421D" w:rsidRPr="00B42F50" w:rsidRDefault="009F027B" w:rsidP="00D31902">
            <w:pPr>
              <w:jc w:val="both"/>
              <w:rPr>
                <w:sz w:val="22"/>
                <w:szCs w:val="22"/>
              </w:rPr>
            </w:pPr>
            <w:r w:rsidRPr="00B42F50">
              <w:rPr>
                <w:sz w:val="22"/>
                <w:szCs w:val="22"/>
              </w:rPr>
              <w:t>Selgitatud</w:t>
            </w:r>
          </w:p>
        </w:tc>
        <w:tc>
          <w:tcPr>
            <w:tcW w:w="2977" w:type="dxa"/>
          </w:tcPr>
          <w:p w14:paraId="1F4EB065" w14:textId="1B3B66CE" w:rsidR="009F421D" w:rsidRPr="00B42F50" w:rsidRDefault="00685F96" w:rsidP="00D31902">
            <w:pPr>
              <w:jc w:val="both"/>
              <w:rPr>
                <w:sz w:val="22"/>
                <w:szCs w:val="22"/>
              </w:rPr>
            </w:pPr>
            <w:r w:rsidRPr="00B42F50">
              <w:rPr>
                <w:sz w:val="22"/>
                <w:szCs w:val="22"/>
              </w:rPr>
              <w:t xml:space="preserve">Auditeeritakse avalikku aruannet, mistõttu on asjakohane viide § 126 lõike </w:t>
            </w:r>
            <w:r w:rsidR="00E93C33">
              <w:rPr>
                <w:sz w:val="22"/>
                <w:szCs w:val="22"/>
              </w:rPr>
              <w:t>2</w:t>
            </w:r>
            <w:r w:rsidRPr="00B42F50">
              <w:rPr>
                <w:sz w:val="22"/>
                <w:szCs w:val="22"/>
              </w:rPr>
              <w:t xml:space="preserve"> punktile 1 ehk </w:t>
            </w:r>
            <w:r w:rsidR="00881F65" w:rsidRPr="00B42F50">
              <w:rPr>
                <w:sz w:val="22"/>
                <w:szCs w:val="22"/>
              </w:rPr>
              <w:t>kindlustusgrupi solventsuse ja finantsseisundi aruandele.</w:t>
            </w:r>
          </w:p>
        </w:tc>
      </w:tr>
      <w:tr w:rsidR="00A04496" w:rsidRPr="00B42F50" w14:paraId="45622D59" w14:textId="77777777" w:rsidTr="00442C35">
        <w:tc>
          <w:tcPr>
            <w:tcW w:w="880" w:type="dxa"/>
          </w:tcPr>
          <w:p w14:paraId="20D823AF" w14:textId="66A61ED7" w:rsidR="00BA44C2" w:rsidRDefault="00790926" w:rsidP="00D31902">
            <w:pPr>
              <w:jc w:val="both"/>
              <w:rPr>
                <w:b/>
                <w:sz w:val="22"/>
                <w:szCs w:val="22"/>
              </w:rPr>
            </w:pPr>
            <w:r>
              <w:rPr>
                <w:b/>
                <w:sz w:val="22"/>
                <w:szCs w:val="22"/>
              </w:rPr>
              <w:t>1</w:t>
            </w:r>
            <w:r w:rsidR="00BA44C2">
              <w:rPr>
                <w:b/>
                <w:sz w:val="22"/>
                <w:szCs w:val="22"/>
              </w:rPr>
              <w:t>4.</w:t>
            </w:r>
          </w:p>
          <w:p w14:paraId="0733C8C4" w14:textId="35B5F72C" w:rsidR="009F421D" w:rsidRPr="00B42F50" w:rsidRDefault="004D258A" w:rsidP="00D31902">
            <w:pPr>
              <w:jc w:val="both"/>
              <w:rPr>
                <w:b/>
                <w:sz w:val="22"/>
                <w:szCs w:val="22"/>
              </w:rPr>
            </w:pPr>
            <w:r w:rsidRPr="00B42F50">
              <w:rPr>
                <w:b/>
                <w:sz w:val="22"/>
                <w:szCs w:val="22"/>
              </w:rPr>
              <w:t>FI</w:t>
            </w:r>
          </w:p>
        </w:tc>
        <w:tc>
          <w:tcPr>
            <w:tcW w:w="5528" w:type="dxa"/>
          </w:tcPr>
          <w:p w14:paraId="7FE6BD25" w14:textId="77777777" w:rsidR="00C90475" w:rsidRPr="00B42F50" w:rsidRDefault="003479AB" w:rsidP="00D31902">
            <w:pPr>
              <w:jc w:val="both"/>
              <w:rPr>
                <w:sz w:val="22"/>
                <w:szCs w:val="22"/>
              </w:rPr>
            </w:pPr>
            <w:r w:rsidRPr="008F062F">
              <w:rPr>
                <w:sz w:val="22"/>
                <w:szCs w:val="22"/>
              </w:rPr>
              <w:t>14.</w:t>
            </w:r>
            <w:r w:rsidRPr="00B42F50">
              <w:rPr>
                <w:sz w:val="22"/>
                <w:szCs w:val="22"/>
              </w:rPr>
              <w:t xml:space="preserve"> KindlTS § 129 lõikes 2 asendatakse sõnad „auditeerimise kohustuse ja korra, et tagada neis aruannetes avaldatud kindlustusandja omavahendite ja kapitalinõuete vastavuse usaldusväärsus“ sõnadega „aruande auditeerimise täpsema korra“. </w:t>
            </w:r>
          </w:p>
          <w:p w14:paraId="68A9B954" w14:textId="5F9F6270" w:rsidR="009F421D" w:rsidRPr="00B42F50" w:rsidRDefault="003479AB" w:rsidP="00D31902">
            <w:pPr>
              <w:jc w:val="both"/>
              <w:rPr>
                <w:sz w:val="22"/>
                <w:szCs w:val="22"/>
              </w:rPr>
            </w:pPr>
            <w:r w:rsidRPr="00B42F50">
              <w:rPr>
                <w:sz w:val="22"/>
                <w:szCs w:val="22"/>
              </w:rPr>
              <w:t xml:space="preserve">Finantsinspektsioon juhib tähelepanu, et asendada tuleks sõnadega „auditeerimise täpsema korra“, vastasel juhul jääb sättesse sõna „aruande“ kordus: (2) Valdkonna eest vastutav minister võib määrusega kehtestada käesoleva seaduse § 123 lõigetes </w:t>
            </w:r>
            <w:r w:rsidR="00C90475" w:rsidRPr="00B42F50">
              <w:rPr>
                <w:sz w:val="22"/>
                <w:szCs w:val="22"/>
              </w:rPr>
              <w:t xml:space="preserve">1 ja 3 nimetatud solventsuse ja finantsseisundi aruande auditeerimise kohustuse ja korra, et tagada neis aruannetes avaldatud kindlustusandja omavahendite ja kapitalinõuete vastavuse usaldusväärsus. </w:t>
            </w:r>
          </w:p>
        </w:tc>
        <w:tc>
          <w:tcPr>
            <w:tcW w:w="1276" w:type="dxa"/>
          </w:tcPr>
          <w:p w14:paraId="5237B936" w14:textId="21BE2416" w:rsidR="009F421D" w:rsidRPr="00B42F50" w:rsidRDefault="00D943AB" w:rsidP="00D31902">
            <w:pPr>
              <w:jc w:val="both"/>
              <w:rPr>
                <w:sz w:val="22"/>
                <w:szCs w:val="22"/>
              </w:rPr>
            </w:pPr>
            <w:r w:rsidRPr="00B42F50">
              <w:rPr>
                <w:sz w:val="22"/>
                <w:szCs w:val="22"/>
              </w:rPr>
              <w:t>Arvestatud</w:t>
            </w:r>
          </w:p>
        </w:tc>
        <w:tc>
          <w:tcPr>
            <w:tcW w:w="2977" w:type="dxa"/>
          </w:tcPr>
          <w:p w14:paraId="3EC92376" w14:textId="77777777" w:rsidR="009F421D" w:rsidRPr="00B42F50" w:rsidRDefault="009F421D" w:rsidP="00D31902">
            <w:pPr>
              <w:jc w:val="both"/>
              <w:rPr>
                <w:sz w:val="22"/>
                <w:szCs w:val="22"/>
              </w:rPr>
            </w:pPr>
          </w:p>
        </w:tc>
      </w:tr>
      <w:tr w:rsidR="00A04496" w:rsidRPr="00B42F50" w14:paraId="7D0BF2DC" w14:textId="77777777" w:rsidTr="00442C35">
        <w:tc>
          <w:tcPr>
            <w:tcW w:w="880" w:type="dxa"/>
          </w:tcPr>
          <w:p w14:paraId="3B860EE2" w14:textId="4F6C6E3E" w:rsidR="00BA44C2" w:rsidRDefault="00790926" w:rsidP="00D31902">
            <w:pPr>
              <w:jc w:val="both"/>
              <w:rPr>
                <w:b/>
                <w:sz w:val="22"/>
                <w:szCs w:val="22"/>
              </w:rPr>
            </w:pPr>
            <w:r>
              <w:rPr>
                <w:b/>
                <w:sz w:val="22"/>
                <w:szCs w:val="22"/>
              </w:rPr>
              <w:t>1</w:t>
            </w:r>
            <w:r w:rsidR="00BA44C2">
              <w:rPr>
                <w:b/>
                <w:sz w:val="22"/>
                <w:szCs w:val="22"/>
              </w:rPr>
              <w:t>5.</w:t>
            </w:r>
          </w:p>
          <w:p w14:paraId="5CAF2C96" w14:textId="1EDDBC1B" w:rsidR="004D258A" w:rsidRPr="00B42F50" w:rsidRDefault="004D258A" w:rsidP="00D31902">
            <w:pPr>
              <w:jc w:val="both"/>
              <w:rPr>
                <w:b/>
                <w:sz w:val="22"/>
                <w:szCs w:val="22"/>
              </w:rPr>
            </w:pPr>
            <w:r w:rsidRPr="00B42F50">
              <w:rPr>
                <w:b/>
                <w:sz w:val="22"/>
                <w:szCs w:val="22"/>
              </w:rPr>
              <w:t>FI</w:t>
            </w:r>
          </w:p>
        </w:tc>
        <w:tc>
          <w:tcPr>
            <w:tcW w:w="5528" w:type="dxa"/>
          </w:tcPr>
          <w:p w14:paraId="7CE85B72" w14:textId="0FB9D671" w:rsidR="000E6A78" w:rsidRPr="00B42F50" w:rsidRDefault="000E6A78" w:rsidP="00D31902">
            <w:pPr>
              <w:jc w:val="both"/>
              <w:rPr>
                <w:sz w:val="22"/>
                <w:szCs w:val="22"/>
              </w:rPr>
            </w:pPr>
            <w:r w:rsidRPr="008F062F">
              <w:rPr>
                <w:sz w:val="22"/>
                <w:szCs w:val="22"/>
              </w:rPr>
              <w:t>15.</w:t>
            </w:r>
            <w:r w:rsidRPr="00B42F50">
              <w:rPr>
                <w:sz w:val="22"/>
                <w:szCs w:val="22"/>
              </w:rPr>
              <w:t xml:space="preserve"> Tagatisfondi seadusesse lisatakse § 73</w:t>
            </w:r>
            <w:r w:rsidRPr="00B42F50">
              <w:rPr>
                <w:sz w:val="22"/>
                <w:szCs w:val="22"/>
                <w:vertAlign w:val="superscript"/>
              </w:rPr>
              <w:t>29</w:t>
            </w:r>
            <w:r w:rsidRPr="00B42F50">
              <w:rPr>
                <w:sz w:val="22"/>
                <w:szCs w:val="22"/>
              </w:rPr>
              <w:t xml:space="preserve">. Finantsinspektsiooni ettepanek on muuta lõike 2 sõnastust järgmiselt: </w:t>
            </w:r>
          </w:p>
          <w:p w14:paraId="79091BFF" w14:textId="77777777" w:rsidR="000E6A78" w:rsidRPr="00B42F50" w:rsidRDefault="000E6A78" w:rsidP="00D31902">
            <w:pPr>
              <w:jc w:val="both"/>
              <w:rPr>
                <w:sz w:val="22"/>
                <w:szCs w:val="22"/>
              </w:rPr>
            </w:pPr>
            <w:r w:rsidRPr="00B42F50">
              <w:rPr>
                <w:sz w:val="22"/>
                <w:szCs w:val="22"/>
              </w:rPr>
              <w:t xml:space="preserve">(2) Tagantjärele makstava osamakse määr on vähemalt kaks protsenti kindlustusandja kindlustusmaksete aastasummast. Kui tagasimakse periood ületab viit aastat, võib Tagatisfond suurendada tagantjärele makstava osamakse määra selliselt, et tagasimakse periood ei ületaks viit aastat. Kindlustusmaksete aastasumma on kindlustusandja Eestis ja teistes lepinguriikides sõlmitud kindlustuslepingute kindlustusmaksete aastane kogusumma. </w:t>
            </w:r>
          </w:p>
          <w:p w14:paraId="096A6A67" w14:textId="77777777" w:rsidR="000E6A78" w:rsidRPr="00B42F50" w:rsidRDefault="000E6A78" w:rsidP="00D31902">
            <w:pPr>
              <w:jc w:val="both"/>
              <w:rPr>
                <w:sz w:val="22"/>
                <w:szCs w:val="22"/>
              </w:rPr>
            </w:pPr>
          </w:p>
          <w:p w14:paraId="474E5B45" w14:textId="32FB8DB7" w:rsidR="000D768A" w:rsidRPr="00B42F50" w:rsidRDefault="000E6A78" w:rsidP="00D31902">
            <w:pPr>
              <w:jc w:val="both"/>
              <w:rPr>
                <w:sz w:val="22"/>
                <w:szCs w:val="22"/>
              </w:rPr>
            </w:pPr>
            <w:r w:rsidRPr="00B42F50">
              <w:rPr>
                <w:sz w:val="22"/>
                <w:szCs w:val="22"/>
              </w:rPr>
              <w:lastRenderedPageBreak/>
              <w:t xml:space="preserve">Arvestades asjaoluga, et kindlustusandjate kriisilahenduse osafondi kasutamise korral tuleb Tagatisfondil katta kulud teise osafondi varadest, tuleks piirata kindlustusandjate </w:t>
            </w:r>
            <w:r w:rsidRPr="00B42F50">
              <w:rPr>
                <w:i/>
                <w:iCs/>
                <w:sz w:val="22"/>
                <w:szCs w:val="22"/>
              </w:rPr>
              <w:t xml:space="preserve">ex-post </w:t>
            </w:r>
            <w:r w:rsidRPr="00B42F50">
              <w:rPr>
                <w:sz w:val="22"/>
                <w:szCs w:val="22"/>
              </w:rPr>
              <w:t>osamaksete kogumise perioodi selliselt, et teisest osafondist laenatud vahendid saaksid tagasi makstud mõistliku aja jooksul. Sellest tulenevalt, kui kahjud, mida osamaksetega tuleb katta, on suuremad ja nende kogumine võtab aega rohkem kui 5 aastat, võib tõsta osamakse protsenti preemiatest selliselt, et tagasimakse tehtaks maksimaalselt viie aastaga.</w:t>
            </w:r>
          </w:p>
        </w:tc>
        <w:tc>
          <w:tcPr>
            <w:tcW w:w="1276" w:type="dxa"/>
          </w:tcPr>
          <w:p w14:paraId="24104BAC" w14:textId="7AE5BE04" w:rsidR="004D258A" w:rsidRPr="00B42F50" w:rsidRDefault="000B159E" w:rsidP="00D31902">
            <w:pPr>
              <w:jc w:val="both"/>
              <w:rPr>
                <w:sz w:val="22"/>
                <w:szCs w:val="22"/>
              </w:rPr>
            </w:pPr>
            <w:r w:rsidRPr="00B42F50">
              <w:rPr>
                <w:sz w:val="22"/>
                <w:szCs w:val="22"/>
              </w:rPr>
              <w:lastRenderedPageBreak/>
              <w:t>Arvestatud</w:t>
            </w:r>
          </w:p>
        </w:tc>
        <w:tc>
          <w:tcPr>
            <w:tcW w:w="2977" w:type="dxa"/>
          </w:tcPr>
          <w:p w14:paraId="2033C4A7" w14:textId="5AB79E61" w:rsidR="004D258A" w:rsidRPr="00B42F50" w:rsidRDefault="004D258A" w:rsidP="00D31902">
            <w:pPr>
              <w:jc w:val="both"/>
              <w:rPr>
                <w:sz w:val="22"/>
                <w:szCs w:val="22"/>
              </w:rPr>
            </w:pPr>
          </w:p>
        </w:tc>
      </w:tr>
      <w:tr w:rsidR="00EF035D" w:rsidRPr="00B42F50" w14:paraId="6A8D5B33" w14:textId="77777777" w:rsidTr="00442C35">
        <w:tc>
          <w:tcPr>
            <w:tcW w:w="880" w:type="dxa"/>
          </w:tcPr>
          <w:p w14:paraId="56819934" w14:textId="77777777" w:rsidR="00EF035D" w:rsidRDefault="00EF035D" w:rsidP="00D31902">
            <w:pPr>
              <w:jc w:val="both"/>
              <w:rPr>
                <w:b/>
                <w:sz w:val="22"/>
                <w:szCs w:val="22"/>
              </w:rPr>
            </w:pPr>
          </w:p>
        </w:tc>
        <w:tc>
          <w:tcPr>
            <w:tcW w:w="5528" w:type="dxa"/>
          </w:tcPr>
          <w:p w14:paraId="708259EB" w14:textId="77777777" w:rsidR="00EF035D" w:rsidRPr="00B42F50" w:rsidRDefault="00EF035D" w:rsidP="00EF035D">
            <w:pPr>
              <w:jc w:val="both"/>
              <w:rPr>
                <w:sz w:val="22"/>
                <w:szCs w:val="22"/>
              </w:rPr>
            </w:pPr>
            <w:r w:rsidRPr="00B42F50">
              <w:rPr>
                <w:sz w:val="22"/>
                <w:szCs w:val="22"/>
              </w:rPr>
              <w:t>Täiendavad ettepanekud KindlTS muutmiseks.</w:t>
            </w:r>
          </w:p>
          <w:p w14:paraId="53C0902B" w14:textId="77777777" w:rsidR="00EF035D" w:rsidRPr="00B42F50" w:rsidRDefault="00EF035D" w:rsidP="00EF035D">
            <w:pPr>
              <w:jc w:val="both"/>
              <w:rPr>
                <w:sz w:val="22"/>
                <w:szCs w:val="22"/>
              </w:rPr>
            </w:pPr>
            <w:r w:rsidRPr="00B42F50">
              <w:rPr>
                <w:sz w:val="22"/>
                <w:szCs w:val="22"/>
              </w:rPr>
              <w:t xml:space="preserve"> </w:t>
            </w:r>
          </w:p>
          <w:p w14:paraId="44DF4E09" w14:textId="05D0F8E7" w:rsidR="00EF035D" w:rsidRPr="00B42F50" w:rsidRDefault="00EF035D" w:rsidP="00EF035D">
            <w:pPr>
              <w:jc w:val="both"/>
              <w:rPr>
                <w:sz w:val="22"/>
                <w:szCs w:val="22"/>
              </w:rPr>
            </w:pPr>
            <w:r w:rsidRPr="00B42F50">
              <w:rPr>
                <w:sz w:val="22"/>
                <w:szCs w:val="22"/>
              </w:rPr>
              <w:t xml:space="preserve">Finantsinspektsioonil on senisest praktikast tulenevalt KindlTS muutmiseks täiendavad ettepanekud seoses kindlustusmaaklerite vahendajate nimekirja kandmise, kustutamise ja kindlustusmaakleri juhtidele ja töötajatele esitatavate nõuete regulatsiooniga, mida palume lisaks eelnõuga seotud tähelepanekutele samuti arvesse võtta. </w:t>
            </w:r>
          </w:p>
        </w:tc>
        <w:tc>
          <w:tcPr>
            <w:tcW w:w="1276" w:type="dxa"/>
          </w:tcPr>
          <w:p w14:paraId="45C1898F" w14:textId="77777777" w:rsidR="00EF035D" w:rsidRPr="00B42F50" w:rsidRDefault="00EF035D" w:rsidP="00D31902">
            <w:pPr>
              <w:jc w:val="both"/>
              <w:rPr>
                <w:sz w:val="22"/>
                <w:szCs w:val="22"/>
              </w:rPr>
            </w:pPr>
          </w:p>
        </w:tc>
        <w:tc>
          <w:tcPr>
            <w:tcW w:w="2977" w:type="dxa"/>
          </w:tcPr>
          <w:p w14:paraId="2CC70812" w14:textId="77777777" w:rsidR="00EF035D" w:rsidRPr="00B42F50" w:rsidRDefault="00EF035D" w:rsidP="00D31902">
            <w:pPr>
              <w:jc w:val="both"/>
              <w:rPr>
                <w:sz w:val="22"/>
                <w:szCs w:val="22"/>
              </w:rPr>
            </w:pPr>
          </w:p>
        </w:tc>
      </w:tr>
      <w:tr w:rsidR="00A04496" w:rsidRPr="00B42F50" w14:paraId="7AE760A4" w14:textId="77777777" w:rsidTr="00442C35">
        <w:tc>
          <w:tcPr>
            <w:tcW w:w="880" w:type="dxa"/>
          </w:tcPr>
          <w:p w14:paraId="01DB0DB5" w14:textId="3626DB59" w:rsidR="00BA44C2" w:rsidRDefault="00790926" w:rsidP="00D31902">
            <w:pPr>
              <w:jc w:val="both"/>
              <w:rPr>
                <w:b/>
                <w:sz w:val="22"/>
                <w:szCs w:val="22"/>
              </w:rPr>
            </w:pPr>
            <w:r>
              <w:rPr>
                <w:b/>
                <w:sz w:val="22"/>
                <w:szCs w:val="22"/>
              </w:rPr>
              <w:t>1</w:t>
            </w:r>
            <w:r w:rsidR="00BA44C2">
              <w:rPr>
                <w:b/>
                <w:sz w:val="22"/>
                <w:szCs w:val="22"/>
              </w:rPr>
              <w:t>6.</w:t>
            </w:r>
          </w:p>
          <w:p w14:paraId="4E70EAF7" w14:textId="01E679CB" w:rsidR="004D258A" w:rsidRPr="00B42F50" w:rsidRDefault="004D258A" w:rsidP="00D31902">
            <w:pPr>
              <w:jc w:val="both"/>
              <w:rPr>
                <w:b/>
                <w:sz w:val="22"/>
                <w:szCs w:val="22"/>
              </w:rPr>
            </w:pPr>
            <w:r w:rsidRPr="00B42F50">
              <w:rPr>
                <w:b/>
                <w:sz w:val="22"/>
                <w:szCs w:val="22"/>
              </w:rPr>
              <w:t>FI</w:t>
            </w:r>
          </w:p>
        </w:tc>
        <w:tc>
          <w:tcPr>
            <w:tcW w:w="5528" w:type="dxa"/>
          </w:tcPr>
          <w:p w14:paraId="01CAE797" w14:textId="39E41543" w:rsidR="003D148C" w:rsidRPr="00B42F50" w:rsidRDefault="003D148C" w:rsidP="00D31902">
            <w:pPr>
              <w:jc w:val="both"/>
              <w:rPr>
                <w:sz w:val="22"/>
                <w:szCs w:val="22"/>
              </w:rPr>
            </w:pPr>
            <w:r w:rsidRPr="00EF035D">
              <w:rPr>
                <w:sz w:val="22"/>
                <w:szCs w:val="22"/>
              </w:rPr>
              <w:t>16.</w:t>
            </w:r>
            <w:r w:rsidRPr="00B42F50">
              <w:rPr>
                <w:sz w:val="22"/>
                <w:szCs w:val="22"/>
              </w:rPr>
              <w:t xml:space="preserve"> Finantsinspektsioon teeb ettepaneku täiendada KindlTS § 188 lõike 1 sõnastust järgmiselt: </w:t>
            </w:r>
          </w:p>
          <w:p w14:paraId="5CF2E81C" w14:textId="6D88864A" w:rsidR="004D258A" w:rsidRPr="00B42F50" w:rsidRDefault="003D148C" w:rsidP="00D31902">
            <w:pPr>
              <w:jc w:val="both"/>
              <w:rPr>
                <w:sz w:val="22"/>
                <w:szCs w:val="22"/>
              </w:rPr>
            </w:pPr>
            <w:r w:rsidRPr="00B42F50">
              <w:rPr>
                <w:sz w:val="22"/>
                <w:szCs w:val="22"/>
              </w:rPr>
              <w:t xml:space="preserve">(1) Finantsinspektsioon kannab taotleja vahendajate nimekirja, kui </w:t>
            </w:r>
            <w:r w:rsidRPr="00B42F50">
              <w:rPr>
                <w:sz w:val="22"/>
                <w:szCs w:val="22"/>
                <w:u w:val="single"/>
              </w:rPr>
              <w:t>ta omab laitmatut mainet, on usaldusväärne</w:t>
            </w:r>
            <w:r w:rsidRPr="00B42F50">
              <w:rPr>
                <w:sz w:val="22"/>
                <w:szCs w:val="22"/>
              </w:rPr>
              <w:t xml:space="preserve">, esitatud andmed ja dokumendid on nõuetekohased ning esitatu põhjal saab veenduda, et kindlustusmaakleril on kindlustuse turustamiseks piisavad vahendid ja suutlikkus ning klientide huvid on piisavalt kaitstud. </w:t>
            </w:r>
          </w:p>
        </w:tc>
        <w:tc>
          <w:tcPr>
            <w:tcW w:w="1276" w:type="dxa"/>
          </w:tcPr>
          <w:p w14:paraId="6DBF66F7" w14:textId="338415AB" w:rsidR="004D258A" w:rsidRPr="00B42F50" w:rsidRDefault="002A6A84" w:rsidP="00D31902">
            <w:pPr>
              <w:jc w:val="both"/>
              <w:rPr>
                <w:sz w:val="22"/>
                <w:szCs w:val="22"/>
              </w:rPr>
            </w:pPr>
            <w:r w:rsidRPr="00B42F50">
              <w:rPr>
                <w:sz w:val="22"/>
                <w:szCs w:val="22"/>
              </w:rPr>
              <w:t>Selgitatud</w:t>
            </w:r>
          </w:p>
        </w:tc>
        <w:tc>
          <w:tcPr>
            <w:tcW w:w="2977" w:type="dxa"/>
          </w:tcPr>
          <w:p w14:paraId="26880958" w14:textId="77777777" w:rsidR="004561EE" w:rsidRPr="00B42F50" w:rsidRDefault="001B2B06" w:rsidP="00D31902">
            <w:pPr>
              <w:jc w:val="both"/>
              <w:rPr>
                <w:sz w:val="22"/>
                <w:szCs w:val="22"/>
              </w:rPr>
            </w:pPr>
            <w:r w:rsidRPr="00B42F50">
              <w:rPr>
                <w:sz w:val="22"/>
                <w:szCs w:val="22"/>
              </w:rPr>
              <w:t>Esitatud e</w:t>
            </w:r>
            <w:r w:rsidR="00DA2A55" w:rsidRPr="00B42F50">
              <w:rPr>
                <w:sz w:val="22"/>
                <w:szCs w:val="22"/>
              </w:rPr>
              <w:t>ttepanek ei ole seotud käesoleva eelnõuga.</w:t>
            </w:r>
            <w:r w:rsidR="001A6936" w:rsidRPr="00B42F50">
              <w:rPr>
                <w:sz w:val="22"/>
                <w:szCs w:val="22"/>
              </w:rPr>
              <w:t xml:space="preserve"> </w:t>
            </w:r>
          </w:p>
          <w:p w14:paraId="33E4957B" w14:textId="77777777" w:rsidR="004561EE" w:rsidRPr="00B42F50" w:rsidRDefault="004561EE" w:rsidP="00D31902">
            <w:pPr>
              <w:jc w:val="both"/>
              <w:rPr>
                <w:sz w:val="22"/>
                <w:szCs w:val="22"/>
              </w:rPr>
            </w:pPr>
          </w:p>
          <w:p w14:paraId="62DE080A" w14:textId="6A0DC6D8" w:rsidR="004D258A" w:rsidRPr="00B42F50" w:rsidRDefault="005E120B" w:rsidP="00D31902">
            <w:pPr>
              <w:jc w:val="both"/>
              <w:rPr>
                <w:sz w:val="22"/>
                <w:szCs w:val="22"/>
              </w:rPr>
            </w:pPr>
            <w:r w:rsidRPr="002B48DF">
              <w:rPr>
                <w:sz w:val="22"/>
                <w:szCs w:val="22"/>
              </w:rPr>
              <w:t xml:space="preserve">Oleme </w:t>
            </w:r>
            <w:r w:rsidR="000B159E" w:rsidRPr="002B48DF">
              <w:rPr>
                <w:sz w:val="22"/>
                <w:szCs w:val="22"/>
              </w:rPr>
              <w:t>kooskõlastusele saat</w:t>
            </w:r>
            <w:r w:rsidR="002B48DF" w:rsidRPr="002B48DF">
              <w:rPr>
                <w:sz w:val="22"/>
                <w:szCs w:val="22"/>
              </w:rPr>
              <w:t>nud</w:t>
            </w:r>
            <w:r w:rsidR="007C3A07" w:rsidRPr="00B42F50">
              <w:rPr>
                <w:sz w:val="22"/>
                <w:szCs w:val="22"/>
              </w:rPr>
              <w:t xml:space="preserve"> eelnõu</w:t>
            </w:r>
            <w:r w:rsidR="00B753E7">
              <w:rPr>
                <w:rStyle w:val="Allmrkuseviide"/>
                <w:sz w:val="22"/>
                <w:szCs w:val="22"/>
              </w:rPr>
              <w:footnoteReference w:id="1"/>
            </w:r>
            <w:r w:rsidR="007C3A07" w:rsidRPr="00B42F50">
              <w:rPr>
                <w:sz w:val="22"/>
                <w:szCs w:val="22"/>
              </w:rPr>
              <w:t>, mille fookuses on kindlustus</w:t>
            </w:r>
            <w:r w:rsidR="00A04496" w:rsidRPr="00B42F50">
              <w:rPr>
                <w:sz w:val="22"/>
                <w:szCs w:val="22"/>
              </w:rPr>
              <w:t xml:space="preserve">maaklerite tegevust </w:t>
            </w:r>
            <w:r w:rsidR="007C3A07" w:rsidRPr="00B42F50">
              <w:rPr>
                <w:sz w:val="22"/>
                <w:szCs w:val="22"/>
              </w:rPr>
              <w:t xml:space="preserve">reguleerivad küsimused. Seetõttu </w:t>
            </w:r>
            <w:r w:rsidR="00BA324A">
              <w:rPr>
                <w:sz w:val="22"/>
                <w:szCs w:val="22"/>
              </w:rPr>
              <w:t xml:space="preserve">oleme lisanud </w:t>
            </w:r>
            <w:r w:rsidR="004F661A">
              <w:rPr>
                <w:sz w:val="22"/>
                <w:szCs w:val="22"/>
              </w:rPr>
              <w:t>ettepaneku</w:t>
            </w:r>
            <w:r w:rsidR="007C3A07" w:rsidRPr="00B42F50">
              <w:rPr>
                <w:sz w:val="22"/>
                <w:szCs w:val="22"/>
              </w:rPr>
              <w:t xml:space="preserve"> nimetatud eelnõu</w:t>
            </w:r>
            <w:r w:rsidR="004F661A">
              <w:rPr>
                <w:sz w:val="22"/>
                <w:szCs w:val="22"/>
              </w:rPr>
              <w:t>sse</w:t>
            </w:r>
            <w:r w:rsidR="007C3A07" w:rsidRPr="00B42F50">
              <w:rPr>
                <w:sz w:val="22"/>
                <w:szCs w:val="22"/>
              </w:rPr>
              <w:t>, mis võimaldab ühtlasi tagada ka asjakohase huvirühmade kaasamise esitatud ettepanekuga seoses.</w:t>
            </w:r>
          </w:p>
        </w:tc>
      </w:tr>
      <w:tr w:rsidR="00A04496" w:rsidRPr="00B42F50" w14:paraId="5F918740" w14:textId="77777777" w:rsidTr="00442C35">
        <w:tc>
          <w:tcPr>
            <w:tcW w:w="880" w:type="dxa"/>
          </w:tcPr>
          <w:p w14:paraId="0CA7024D" w14:textId="6D444B0C" w:rsidR="00BA44C2" w:rsidRDefault="00790926" w:rsidP="00D31902">
            <w:pPr>
              <w:jc w:val="both"/>
              <w:rPr>
                <w:b/>
                <w:sz w:val="22"/>
                <w:szCs w:val="22"/>
              </w:rPr>
            </w:pPr>
            <w:r>
              <w:rPr>
                <w:b/>
                <w:sz w:val="22"/>
                <w:szCs w:val="22"/>
              </w:rPr>
              <w:t>1</w:t>
            </w:r>
            <w:r w:rsidR="00BA44C2">
              <w:rPr>
                <w:b/>
                <w:sz w:val="22"/>
                <w:szCs w:val="22"/>
              </w:rPr>
              <w:t>7.</w:t>
            </w:r>
          </w:p>
          <w:p w14:paraId="19735AD5" w14:textId="3BD59AF8" w:rsidR="00781206" w:rsidRPr="00B42F50" w:rsidRDefault="00781206" w:rsidP="00D31902">
            <w:pPr>
              <w:jc w:val="both"/>
              <w:rPr>
                <w:b/>
                <w:sz w:val="22"/>
                <w:szCs w:val="22"/>
              </w:rPr>
            </w:pPr>
            <w:r w:rsidRPr="00B42F50">
              <w:rPr>
                <w:b/>
                <w:sz w:val="22"/>
                <w:szCs w:val="22"/>
              </w:rPr>
              <w:t>FI</w:t>
            </w:r>
          </w:p>
        </w:tc>
        <w:tc>
          <w:tcPr>
            <w:tcW w:w="5528" w:type="dxa"/>
          </w:tcPr>
          <w:p w14:paraId="0AACB753" w14:textId="22EABD45" w:rsidR="00781206" w:rsidRPr="00B42F50" w:rsidRDefault="00781206" w:rsidP="00D31902">
            <w:pPr>
              <w:jc w:val="both"/>
              <w:rPr>
                <w:sz w:val="22"/>
                <w:szCs w:val="22"/>
              </w:rPr>
            </w:pPr>
            <w:r w:rsidRPr="00EF035D">
              <w:rPr>
                <w:sz w:val="22"/>
                <w:szCs w:val="22"/>
              </w:rPr>
              <w:t>17.</w:t>
            </w:r>
            <w:r w:rsidRPr="00B42F50">
              <w:rPr>
                <w:sz w:val="22"/>
                <w:szCs w:val="22"/>
              </w:rPr>
              <w:t xml:space="preserve"> Finantsinspektsioon teeb ettepaneku täiendada KindlTS § 189 sõnastust järgmiselt: </w:t>
            </w:r>
          </w:p>
          <w:p w14:paraId="1F019F61" w14:textId="77777777" w:rsidR="00781206" w:rsidRPr="00B42F50" w:rsidRDefault="00781206" w:rsidP="00D31902">
            <w:pPr>
              <w:jc w:val="both"/>
              <w:rPr>
                <w:sz w:val="22"/>
                <w:szCs w:val="22"/>
              </w:rPr>
            </w:pPr>
            <w:r w:rsidRPr="00B42F50">
              <w:rPr>
                <w:sz w:val="22"/>
                <w:szCs w:val="22"/>
              </w:rPr>
              <w:t xml:space="preserve">KindlTS § 189 kohaselt võib Finantsinspektsioon keelduda kindlustusmaakleri vahendajate nimekirja kandmisest, kui: </w:t>
            </w:r>
          </w:p>
          <w:p w14:paraId="1C4C16DF" w14:textId="77777777" w:rsidR="00781206" w:rsidRPr="00B42F50" w:rsidRDefault="00781206" w:rsidP="00D31902">
            <w:pPr>
              <w:jc w:val="both"/>
              <w:rPr>
                <w:sz w:val="22"/>
                <w:szCs w:val="22"/>
              </w:rPr>
            </w:pPr>
            <w:r w:rsidRPr="00B42F50">
              <w:rPr>
                <w:sz w:val="22"/>
                <w:szCs w:val="22"/>
              </w:rPr>
              <w:t xml:space="preserve">1) taotleja ei vasta käesolevas seaduses sätestatud nõuetele; </w:t>
            </w:r>
          </w:p>
          <w:p w14:paraId="2E161931" w14:textId="77777777" w:rsidR="00781206" w:rsidRPr="00B42F50" w:rsidRDefault="00781206" w:rsidP="00D31902">
            <w:pPr>
              <w:jc w:val="both"/>
              <w:rPr>
                <w:sz w:val="22"/>
                <w:szCs w:val="22"/>
              </w:rPr>
            </w:pPr>
            <w:r w:rsidRPr="00B42F50">
              <w:rPr>
                <w:sz w:val="22"/>
                <w:szCs w:val="22"/>
              </w:rPr>
              <w:t xml:space="preserve">2) taotleja juhatuse liige ei vasta käesolevas seaduses või selle alusel kehtestatud õigusaktides sätestatud nõuetele või </w:t>
            </w:r>
            <w:r w:rsidRPr="00B42F50">
              <w:rPr>
                <w:sz w:val="22"/>
                <w:szCs w:val="22"/>
                <w:u w:val="single"/>
              </w:rPr>
              <w:t>ei oma Finantsinspektsiooni hinnangul laitmatut mainet ja usaldusväärsust toetavaid ärisidemeid</w:t>
            </w:r>
            <w:r w:rsidRPr="00B42F50">
              <w:rPr>
                <w:sz w:val="22"/>
                <w:szCs w:val="22"/>
              </w:rPr>
              <w:t xml:space="preserve">; </w:t>
            </w:r>
          </w:p>
          <w:p w14:paraId="20D13EC6" w14:textId="77777777" w:rsidR="00781206" w:rsidRPr="00B42F50" w:rsidRDefault="00781206" w:rsidP="00D31902">
            <w:pPr>
              <w:jc w:val="both"/>
              <w:rPr>
                <w:sz w:val="22"/>
                <w:szCs w:val="22"/>
              </w:rPr>
            </w:pPr>
            <w:r w:rsidRPr="00B42F50">
              <w:rPr>
                <w:sz w:val="22"/>
                <w:szCs w:val="22"/>
              </w:rPr>
              <w:t xml:space="preserve">3) taotlejal puudub kehtiv käesoleva seaduse tingimustele vastav vastutuskindlustuslepingu või kindlustusandja või krediidi- või finantseerimisasutuse garantiilepingu pakkumus; </w:t>
            </w:r>
          </w:p>
          <w:p w14:paraId="166200D5" w14:textId="77777777" w:rsidR="00781206" w:rsidRPr="00B42F50" w:rsidRDefault="00781206" w:rsidP="00D31902">
            <w:pPr>
              <w:jc w:val="both"/>
              <w:rPr>
                <w:sz w:val="22"/>
                <w:szCs w:val="22"/>
              </w:rPr>
            </w:pPr>
            <w:r w:rsidRPr="00B42F50">
              <w:rPr>
                <w:sz w:val="22"/>
                <w:szCs w:val="22"/>
              </w:rPr>
              <w:t xml:space="preserve">4) taotleja esitatud vastutuskindlustuslepingu või kindlustusandja või krediidi- või finantseerimisasutuse garantiilepingu pakkumuses märgitud tingimused ei taga Finantsinspektsiooni hinnangul piisaval määral kindlustusmaakleri tekitatud varalise kahju hüvitamist; </w:t>
            </w:r>
          </w:p>
          <w:p w14:paraId="48C6A91F" w14:textId="77777777" w:rsidR="00781206" w:rsidRPr="00B42F50" w:rsidRDefault="00781206" w:rsidP="00D31902">
            <w:pPr>
              <w:jc w:val="both"/>
              <w:rPr>
                <w:sz w:val="22"/>
                <w:szCs w:val="22"/>
              </w:rPr>
            </w:pPr>
            <w:r w:rsidRPr="00B42F50">
              <w:rPr>
                <w:sz w:val="22"/>
                <w:szCs w:val="22"/>
              </w:rPr>
              <w:t xml:space="preserve">5) selle kolmanda riigi, kus on asutatud isik, kellega kindlustusmaakleril on märkimisväärne seos, õigusaktidest </w:t>
            </w:r>
            <w:r w:rsidRPr="00B42F50">
              <w:rPr>
                <w:sz w:val="22"/>
                <w:szCs w:val="22"/>
              </w:rPr>
              <w:lastRenderedPageBreak/>
              <w:t xml:space="preserve">tulenevad nõuded või õigusaktide rakendamine takistaksid kindlustusmaakleri üle vajalikul tasemel järelevalve teostamist. </w:t>
            </w:r>
          </w:p>
          <w:p w14:paraId="79705C8A" w14:textId="0852D784" w:rsidR="00781206" w:rsidRPr="00B42F50" w:rsidRDefault="00781206" w:rsidP="00D31902">
            <w:pPr>
              <w:jc w:val="both"/>
              <w:rPr>
                <w:sz w:val="22"/>
                <w:szCs w:val="22"/>
                <w:u w:val="single"/>
              </w:rPr>
            </w:pPr>
            <w:r w:rsidRPr="00B42F50">
              <w:rPr>
                <w:sz w:val="22"/>
                <w:szCs w:val="22"/>
                <w:u w:val="single"/>
              </w:rPr>
              <w:t>6) taotleja või tema juhtide märkimisväärne seos, isiklik käitumine või ärikäitumine füüsiliste või juriidiliste isikutega ohustab või võib ohustada kindlustusturu või taotleja usaldusväärsust või läbipaistvust Eestis, lepinguriigis või kolmandas riigis.</w:t>
            </w:r>
          </w:p>
        </w:tc>
        <w:tc>
          <w:tcPr>
            <w:tcW w:w="1276" w:type="dxa"/>
          </w:tcPr>
          <w:p w14:paraId="669B1F0E" w14:textId="07BDC697" w:rsidR="00781206" w:rsidRPr="00B42F50" w:rsidRDefault="00781206" w:rsidP="00D31902">
            <w:pPr>
              <w:jc w:val="both"/>
              <w:rPr>
                <w:sz w:val="22"/>
                <w:szCs w:val="22"/>
              </w:rPr>
            </w:pPr>
            <w:r w:rsidRPr="00B42F50">
              <w:rPr>
                <w:sz w:val="22"/>
                <w:szCs w:val="22"/>
              </w:rPr>
              <w:lastRenderedPageBreak/>
              <w:t>Selgitatud</w:t>
            </w:r>
          </w:p>
        </w:tc>
        <w:tc>
          <w:tcPr>
            <w:tcW w:w="2977" w:type="dxa"/>
          </w:tcPr>
          <w:p w14:paraId="68033EEA" w14:textId="7D63FF8A" w:rsidR="00781206" w:rsidRPr="00B42F50" w:rsidRDefault="0012607F" w:rsidP="00D31902">
            <w:pPr>
              <w:jc w:val="both"/>
              <w:rPr>
                <w:sz w:val="22"/>
                <w:szCs w:val="22"/>
              </w:rPr>
            </w:pPr>
            <w:r>
              <w:rPr>
                <w:sz w:val="22"/>
                <w:szCs w:val="22"/>
              </w:rPr>
              <w:t>Vt selgitust märkuse nr 35 juures.</w:t>
            </w:r>
          </w:p>
        </w:tc>
      </w:tr>
      <w:tr w:rsidR="00A04496" w:rsidRPr="00B42F50" w14:paraId="7C4420E7" w14:textId="77777777" w:rsidTr="006C31AD">
        <w:tc>
          <w:tcPr>
            <w:tcW w:w="880" w:type="dxa"/>
          </w:tcPr>
          <w:p w14:paraId="0E711A9D" w14:textId="485EB7F6" w:rsidR="00BA44C2" w:rsidRDefault="00790926" w:rsidP="00D31902">
            <w:pPr>
              <w:jc w:val="both"/>
              <w:rPr>
                <w:b/>
                <w:sz w:val="22"/>
                <w:szCs w:val="22"/>
              </w:rPr>
            </w:pPr>
            <w:r>
              <w:rPr>
                <w:b/>
                <w:sz w:val="22"/>
                <w:szCs w:val="22"/>
              </w:rPr>
              <w:t>1</w:t>
            </w:r>
            <w:r w:rsidR="00BA44C2">
              <w:rPr>
                <w:b/>
                <w:sz w:val="22"/>
                <w:szCs w:val="22"/>
              </w:rPr>
              <w:t>8.</w:t>
            </w:r>
          </w:p>
          <w:p w14:paraId="74EFAE36" w14:textId="04A6CF73" w:rsidR="00781206" w:rsidRPr="00B42F50" w:rsidRDefault="00781206" w:rsidP="00D31902">
            <w:pPr>
              <w:jc w:val="both"/>
              <w:rPr>
                <w:b/>
                <w:sz w:val="22"/>
                <w:szCs w:val="22"/>
              </w:rPr>
            </w:pPr>
            <w:r w:rsidRPr="00B42F50">
              <w:rPr>
                <w:b/>
                <w:sz w:val="22"/>
                <w:szCs w:val="22"/>
              </w:rPr>
              <w:t>FI</w:t>
            </w:r>
          </w:p>
        </w:tc>
        <w:tc>
          <w:tcPr>
            <w:tcW w:w="5528" w:type="dxa"/>
          </w:tcPr>
          <w:p w14:paraId="344465EC" w14:textId="0D10DEB6" w:rsidR="00781206" w:rsidRPr="00B42F50" w:rsidRDefault="00781206" w:rsidP="00D31902">
            <w:pPr>
              <w:jc w:val="both"/>
              <w:rPr>
                <w:sz w:val="22"/>
                <w:szCs w:val="22"/>
              </w:rPr>
            </w:pPr>
            <w:r w:rsidRPr="00EF035D">
              <w:rPr>
                <w:sz w:val="22"/>
                <w:szCs w:val="22"/>
              </w:rPr>
              <w:t>18.</w:t>
            </w:r>
            <w:r w:rsidRPr="00B42F50">
              <w:rPr>
                <w:sz w:val="22"/>
                <w:szCs w:val="22"/>
              </w:rPr>
              <w:t xml:space="preserve"> Finantsinspektsioon teeb ettepaneku täiendada KindlTS § 190 lõike 3 sõnastust järgmiselt: </w:t>
            </w:r>
          </w:p>
          <w:p w14:paraId="3F06D791" w14:textId="77777777" w:rsidR="00781206" w:rsidRPr="00B42F50" w:rsidRDefault="00781206" w:rsidP="00D31902">
            <w:pPr>
              <w:jc w:val="both"/>
              <w:rPr>
                <w:sz w:val="22"/>
                <w:szCs w:val="22"/>
              </w:rPr>
            </w:pPr>
            <w:r w:rsidRPr="00B42F50">
              <w:rPr>
                <w:sz w:val="22"/>
                <w:szCs w:val="22"/>
              </w:rPr>
              <w:t xml:space="preserve">(3) Finantsinspektsioon võib kustutada kindlustusmaakleri vahendajate nimekirjast, kui: </w:t>
            </w:r>
          </w:p>
          <w:p w14:paraId="04889E6F" w14:textId="77777777" w:rsidR="00781206" w:rsidRPr="00B42F50" w:rsidRDefault="00781206" w:rsidP="00D31902">
            <w:pPr>
              <w:jc w:val="both"/>
              <w:rPr>
                <w:sz w:val="22"/>
                <w:szCs w:val="22"/>
              </w:rPr>
            </w:pPr>
            <w:r w:rsidRPr="00B42F50">
              <w:rPr>
                <w:sz w:val="22"/>
                <w:szCs w:val="22"/>
              </w:rPr>
              <w:t xml:space="preserve">1) kindlustusmaakler ei vasta käesolevas seaduses või selle alusel kehtestatud õigusaktides sätestatud nõuetele </w:t>
            </w:r>
            <w:r w:rsidRPr="00B42F50">
              <w:rPr>
                <w:sz w:val="22"/>
                <w:szCs w:val="22"/>
                <w:u w:val="single"/>
              </w:rPr>
              <w:t>või vahendajate nimekirja kandmise tingimustele</w:t>
            </w:r>
            <w:r w:rsidRPr="00B42F50">
              <w:rPr>
                <w:sz w:val="22"/>
                <w:szCs w:val="22"/>
              </w:rPr>
              <w:t xml:space="preserve">; </w:t>
            </w:r>
          </w:p>
          <w:p w14:paraId="29FB4DE5" w14:textId="0832CA1D" w:rsidR="00781206" w:rsidRPr="00B42F50" w:rsidRDefault="00781206" w:rsidP="00D31902">
            <w:pPr>
              <w:jc w:val="both"/>
              <w:rPr>
                <w:sz w:val="22"/>
                <w:szCs w:val="22"/>
              </w:rPr>
            </w:pPr>
            <w:r w:rsidRPr="00B42F50">
              <w:rPr>
                <w:sz w:val="22"/>
                <w:szCs w:val="22"/>
              </w:rPr>
              <w:t>2) kindlusmaakleri juhatuse liige ei vasta käesolevas seaduses või selle alusel kehtestatud õigusaktis sätestatud nõuetele;</w:t>
            </w:r>
          </w:p>
        </w:tc>
        <w:tc>
          <w:tcPr>
            <w:tcW w:w="1276" w:type="dxa"/>
          </w:tcPr>
          <w:p w14:paraId="28E822D5" w14:textId="14DDAC10" w:rsidR="00781206" w:rsidRPr="00B42F50" w:rsidRDefault="00781206" w:rsidP="00D31902">
            <w:pPr>
              <w:jc w:val="both"/>
              <w:rPr>
                <w:sz w:val="22"/>
                <w:szCs w:val="22"/>
              </w:rPr>
            </w:pPr>
            <w:r w:rsidRPr="00B42F50">
              <w:rPr>
                <w:sz w:val="22"/>
                <w:szCs w:val="22"/>
              </w:rPr>
              <w:t>Selgitatud</w:t>
            </w:r>
          </w:p>
        </w:tc>
        <w:tc>
          <w:tcPr>
            <w:tcW w:w="2977" w:type="dxa"/>
          </w:tcPr>
          <w:p w14:paraId="6C8D1AA5" w14:textId="4992CA6E" w:rsidR="00781206" w:rsidRPr="00B42F50" w:rsidRDefault="001B637A" w:rsidP="00D31902">
            <w:pPr>
              <w:jc w:val="both"/>
              <w:rPr>
                <w:sz w:val="22"/>
                <w:szCs w:val="22"/>
              </w:rPr>
            </w:pPr>
            <w:r>
              <w:rPr>
                <w:sz w:val="22"/>
                <w:szCs w:val="22"/>
              </w:rPr>
              <w:t>Vt selgitust märkuse nr 35 juures.</w:t>
            </w:r>
          </w:p>
        </w:tc>
      </w:tr>
      <w:tr w:rsidR="00A04496" w:rsidRPr="00B42F50" w14:paraId="05363E24" w14:textId="77777777" w:rsidTr="00442C35">
        <w:tc>
          <w:tcPr>
            <w:tcW w:w="880" w:type="dxa"/>
            <w:tcBorders>
              <w:bottom w:val="single" w:sz="4" w:space="0" w:color="auto"/>
            </w:tcBorders>
          </w:tcPr>
          <w:p w14:paraId="41AFBECC" w14:textId="234E8961" w:rsidR="00BA44C2" w:rsidRDefault="00790926" w:rsidP="00D31902">
            <w:pPr>
              <w:jc w:val="both"/>
              <w:rPr>
                <w:b/>
                <w:sz w:val="22"/>
                <w:szCs w:val="22"/>
              </w:rPr>
            </w:pPr>
            <w:r>
              <w:rPr>
                <w:b/>
                <w:sz w:val="22"/>
                <w:szCs w:val="22"/>
              </w:rPr>
              <w:t>1</w:t>
            </w:r>
            <w:r w:rsidR="00BA44C2">
              <w:rPr>
                <w:b/>
                <w:sz w:val="22"/>
                <w:szCs w:val="22"/>
              </w:rPr>
              <w:t>9.</w:t>
            </w:r>
          </w:p>
          <w:p w14:paraId="68E11B78" w14:textId="4C039D20" w:rsidR="00781206" w:rsidRPr="00B42F50" w:rsidRDefault="00781206" w:rsidP="00D31902">
            <w:pPr>
              <w:jc w:val="both"/>
              <w:rPr>
                <w:b/>
                <w:sz w:val="22"/>
                <w:szCs w:val="22"/>
              </w:rPr>
            </w:pPr>
            <w:r w:rsidRPr="00B42F50">
              <w:rPr>
                <w:b/>
                <w:sz w:val="22"/>
                <w:szCs w:val="22"/>
              </w:rPr>
              <w:t>FI</w:t>
            </w:r>
          </w:p>
        </w:tc>
        <w:tc>
          <w:tcPr>
            <w:tcW w:w="5528" w:type="dxa"/>
            <w:tcBorders>
              <w:bottom w:val="single" w:sz="4" w:space="0" w:color="auto"/>
            </w:tcBorders>
          </w:tcPr>
          <w:p w14:paraId="2F8C69BF" w14:textId="096EEBD8" w:rsidR="00781206" w:rsidRPr="00B42F50" w:rsidRDefault="00781206" w:rsidP="00D31902">
            <w:pPr>
              <w:jc w:val="both"/>
              <w:rPr>
                <w:sz w:val="22"/>
                <w:szCs w:val="22"/>
              </w:rPr>
            </w:pPr>
            <w:r w:rsidRPr="00EF035D">
              <w:rPr>
                <w:sz w:val="22"/>
                <w:szCs w:val="22"/>
              </w:rPr>
              <w:t>19.</w:t>
            </w:r>
            <w:r w:rsidRPr="00B42F50">
              <w:rPr>
                <w:sz w:val="22"/>
                <w:szCs w:val="22"/>
              </w:rPr>
              <w:t xml:space="preserve"> Finantsinspektsioon teeb ettepaneku täiendada KindlTS § 191 sõnastust järgmiselt: </w:t>
            </w:r>
          </w:p>
          <w:p w14:paraId="1EE7C986" w14:textId="38C18679" w:rsidR="00781206" w:rsidRPr="00B42F50" w:rsidRDefault="00781206" w:rsidP="00D31902">
            <w:pPr>
              <w:jc w:val="both"/>
              <w:rPr>
                <w:sz w:val="22"/>
                <w:szCs w:val="22"/>
              </w:rPr>
            </w:pPr>
            <w:r w:rsidRPr="00B42F50">
              <w:rPr>
                <w:sz w:val="22"/>
                <w:szCs w:val="22"/>
              </w:rPr>
              <w:t>(1) Kindlustusmaakleri juhatuse liikmel ja otseselt kindlustuse turustamisega tegeleval füüsilisel isikul peavad olema laitmatu ärialane maine</w:t>
            </w:r>
            <w:r w:rsidRPr="00B42F50">
              <w:rPr>
                <w:sz w:val="22"/>
                <w:szCs w:val="22"/>
                <w:u w:val="single"/>
              </w:rPr>
              <w:t>, usaldusväärsus ja eelnevat toetavad ärisidemed ning</w:t>
            </w:r>
            <w:r w:rsidRPr="00B42F50">
              <w:rPr>
                <w:sz w:val="22"/>
                <w:szCs w:val="22"/>
              </w:rPr>
              <w:t xml:space="preserve"> käesoleva seaduse §-s 178 sätestatud kindlustusalased teadmised.</w:t>
            </w:r>
          </w:p>
        </w:tc>
        <w:tc>
          <w:tcPr>
            <w:tcW w:w="1276" w:type="dxa"/>
            <w:tcBorders>
              <w:bottom w:val="single" w:sz="4" w:space="0" w:color="auto"/>
            </w:tcBorders>
          </w:tcPr>
          <w:p w14:paraId="3D2AE7FB" w14:textId="41DCC83C" w:rsidR="00781206" w:rsidRPr="00B42F50" w:rsidRDefault="00781206" w:rsidP="00D31902">
            <w:pPr>
              <w:jc w:val="both"/>
              <w:rPr>
                <w:sz w:val="22"/>
                <w:szCs w:val="22"/>
              </w:rPr>
            </w:pPr>
            <w:r w:rsidRPr="00B42F50">
              <w:rPr>
                <w:sz w:val="22"/>
                <w:szCs w:val="22"/>
              </w:rPr>
              <w:t>Selgitatud</w:t>
            </w:r>
          </w:p>
        </w:tc>
        <w:tc>
          <w:tcPr>
            <w:tcW w:w="2977" w:type="dxa"/>
            <w:tcBorders>
              <w:bottom w:val="single" w:sz="4" w:space="0" w:color="auto"/>
            </w:tcBorders>
          </w:tcPr>
          <w:p w14:paraId="32125AE8" w14:textId="03DC7534" w:rsidR="00781206" w:rsidRPr="00B42F50" w:rsidRDefault="001B637A" w:rsidP="00D31902">
            <w:pPr>
              <w:jc w:val="both"/>
              <w:rPr>
                <w:sz w:val="22"/>
                <w:szCs w:val="22"/>
              </w:rPr>
            </w:pPr>
            <w:r>
              <w:rPr>
                <w:sz w:val="22"/>
                <w:szCs w:val="22"/>
              </w:rPr>
              <w:t>Vt selgitust märkuse nr 35 juures.</w:t>
            </w:r>
          </w:p>
        </w:tc>
      </w:tr>
    </w:tbl>
    <w:p w14:paraId="635E64B8" w14:textId="77777777" w:rsidR="00C6527F" w:rsidRPr="00B42F50" w:rsidRDefault="00C6527F" w:rsidP="00D31902">
      <w:pPr>
        <w:rPr>
          <w:sz w:val="22"/>
          <w:szCs w:val="22"/>
        </w:rPr>
      </w:pPr>
    </w:p>
    <w:tbl>
      <w:tblPr>
        <w:tblW w:w="10680"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0"/>
      </w:tblGrid>
      <w:tr w:rsidR="00C6527F" w:rsidRPr="00B42F50" w14:paraId="5A26B816" w14:textId="77777777">
        <w:tc>
          <w:tcPr>
            <w:tcW w:w="10680" w:type="dxa"/>
            <w:shd w:val="clear" w:color="auto" w:fill="D9D9D9" w:themeFill="background1" w:themeFillShade="D9"/>
            <w:vAlign w:val="center"/>
          </w:tcPr>
          <w:p w14:paraId="05EC6D38" w14:textId="13EE53F5" w:rsidR="00C6527F" w:rsidRPr="00B42F50" w:rsidRDefault="0026060A" w:rsidP="00D31902">
            <w:pPr>
              <w:pStyle w:val="Pealkiri1"/>
              <w:spacing w:before="0" w:after="0" w:line="240" w:lineRule="auto"/>
              <w:jc w:val="both"/>
              <w:rPr>
                <w:rFonts w:ascii="Times New Roman" w:hAnsi="Times New Roman"/>
                <w:b/>
                <w:color w:val="auto"/>
                <w:sz w:val="22"/>
                <w:szCs w:val="22"/>
                <w:lang w:eastAsia="fr-FR"/>
              </w:rPr>
            </w:pPr>
            <w:bookmarkStart w:id="2" w:name="_Ref222303683"/>
            <w:r w:rsidRPr="00B42F50">
              <w:rPr>
                <w:rFonts w:ascii="Times New Roman" w:hAnsi="Times New Roman"/>
                <w:b/>
                <w:color w:val="auto"/>
                <w:sz w:val="22"/>
                <w:szCs w:val="22"/>
                <w:lang w:eastAsia="fr-FR"/>
              </w:rPr>
              <w:t>EESTI KINDLUSTUSSELTSIDE LIIT</w:t>
            </w:r>
            <w:bookmarkEnd w:id="2"/>
          </w:p>
        </w:tc>
      </w:tr>
    </w:tbl>
    <w:tbl>
      <w:tblPr>
        <w:tblStyle w:val="Kontuurtabel"/>
        <w:tblW w:w="10661" w:type="dxa"/>
        <w:tblInd w:w="-743" w:type="dxa"/>
        <w:tblLook w:val="00A0" w:firstRow="1" w:lastRow="0" w:firstColumn="1" w:lastColumn="0" w:noHBand="0" w:noVBand="0"/>
      </w:tblPr>
      <w:tblGrid>
        <w:gridCol w:w="767"/>
        <w:gridCol w:w="5463"/>
        <w:gridCol w:w="1243"/>
        <w:gridCol w:w="3188"/>
      </w:tblGrid>
      <w:tr w:rsidR="00C6527F" w:rsidRPr="00B42F50" w14:paraId="70204E66" w14:textId="77777777" w:rsidTr="009A6EF6">
        <w:tc>
          <w:tcPr>
            <w:tcW w:w="767" w:type="dxa"/>
          </w:tcPr>
          <w:p w14:paraId="7E1C8B26" w14:textId="23D0F0CC" w:rsidR="00C6527F" w:rsidRPr="00B42F50" w:rsidRDefault="00C6527F" w:rsidP="00D31902">
            <w:pPr>
              <w:jc w:val="both"/>
              <w:rPr>
                <w:b/>
                <w:sz w:val="22"/>
                <w:szCs w:val="22"/>
              </w:rPr>
            </w:pPr>
          </w:p>
        </w:tc>
        <w:tc>
          <w:tcPr>
            <w:tcW w:w="5514" w:type="dxa"/>
          </w:tcPr>
          <w:p w14:paraId="2813235F" w14:textId="45BC5A7F" w:rsidR="00C6527F" w:rsidRPr="00A812EA" w:rsidRDefault="00194D8C" w:rsidP="00D31902">
            <w:pPr>
              <w:jc w:val="both"/>
              <w:rPr>
                <w:sz w:val="22"/>
                <w:szCs w:val="22"/>
              </w:rPr>
            </w:pPr>
            <w:r w:rsidRPr="00A812EA">
              <w:rPr>
                <w:sz w:val="22"/>
                <w:szCs w:val="22"/>
              </w:rPr>
              <w:t>1. Kindlustusandjate kriiside ennetamise ja lahendamise seadus</w:t>
            </w:r>
          </w:p>
        </w:tc>
        <w:tc>
          <w:tcPr>
            <w:tcW w:w="1182" w:type="dxa"/>
          </w:tcPr>
          <w:p w14:paraId="0140C304" w14:textId="4C70360A" w:rsidR="00C6527F" w:rsidRPr="00B42F50" w:rsidRDefault="00C6527F" w:rsidP="00D31902">
            <w:pPr>
              <w:jc w:val="center"/>
              <w:rPr>
                <w:sz w:val="22"/>
                <w:szCs w:val="22"/>
              </w:rPr>
            </w:pPr>
          </w:p>
        </w:tc>
        <w:tc>
          <w:tcPr>
            <w:tcW w:w="3198" w:type="dxa"/>
          </w:tcPr>
          <w:p w14:paraId="2EEA5DE1" w14:textId="0A3FCB8A" w:rsidR="00C6527F" w:rsidRPr="00B42F50" w:rsidRDefault="00C6527F" w:rsidP="00D31902">
            <w:pPr>
              <w:jc w:val="both"/>
              <w:rPr>
                <w:i/>
                <w:iCs/>
                <w:sz w:val="22"/>
                <w:szCs w:val="22"/>
              </w:rPr>
            </w:pPr>
          </w:p>
        </w:tc>
      </w:tr>
      <w:tr w:rsidR="00682ADE" w:rsidRPr="00B42F50" w14:paraId="0D1652A5" w14:textId="77777777" w:rsidTr="009A6EF6">
        <w:tc>
          <w:tcPr>
            <w:tcW w:w="767" w:type="dxa"/>
            <w:tcBorders>
              <w:bottom w:val="single" w:sz="4" w:space="0" w:color="auto"/>
            </w:tcBorders>
          </w:tcPr>
          <w:p w14:paraId="2887CF41" w14:textId="6D5B71C4" w:rsidR="00C038C4" w:rsidRDefault="00790926" w:rsidP="00D31902">
            <w:pPr>
              <w:jc w:val="both"/>
              <w:rPr>
                <w:b/>
                <w:sz w:val="22"/>
                <w:szCs w:val="22"/>
              </w:rPr>
            </w:pPr>
            <w:r>
              <w:rPr>
                <w:b/>
                <w:sz w:val="22"/>
                <w:szCs w:val="22"/>
              </w:rPr>
              <w:t>2</w:t>
            </w:r>
            <w:r w:rsidR="00C038C4">
              <w:rPr>
                <w:b/>
                <w:sz w:val="22"/>
                <w:szCs w:val="22"/>
              </w:rPr>
              <w:t>0.</w:t>
            </w:r>
          </w:p>
          <w:p w14:paraId="3AD4B7E2" w14:textId="26EB361D" w:rsidR="00682ADE" w:rsidRPr="00B42F50" w:rsidRDefault="004C5BDB" w:rsidP="00D31902">
            <w:pPr>
              <w:jc w:val="both"/>
              <w:rPr>
                <w:b/>
                <w:sz w:val="22"/>
                <w:szCs w:val="22"/>
              </w:rPr>
            </w:pPr>
            <w:r w:rsidRPr="00B42F50">
              <w:rPr>
                <w:b/>
                <w:sz w:val="22"/>
                <w:szCs w:val="22"/>
              </w:rPr>
              <w:t>EKsL</w:t>
            </w:r>
          </w:p>
        </w:tc>
        <w:tc>
          <w:tcPr>
            <w:tcW w:w="5514" w:type="dxa"/>
            <w:tcBorders>
              <w:bottom w:val="single" w:sz="4" w:space="0" w:color="auto"/>
            </w:tcBorders>
          </w:tcPr>
          <w:p w14:paraId="3FF8CC0A" w14:textId="37EAA536" w:rsidR="00682ADE" w:rsidRPr="00E55A66" w:rsidRDefault="00682ADE" w:rsidP="00D31902">
            <w:pPr>
              <w:jc w:val="both"/>
              <w:rPr>
                <w:sz w:val="22"/>
                <w:szCs w:val="22"/>
              </w:rPr>
            </w:pPr>
            <w:r w:rsidRPr="00EF035D">
              <w:rPr>
                <w:sz w:val="22"/>
                <w:szCs w:val="22"/>
              </w:rPr>
              <w:t>1.1.</w:t>
            </w:r>
            <w:r w:rsidRPr="00B42F50">
              <w:rPr>
                <w:b/>
                <w:bCs/>
                <w:sz w:val="22"/>
                <w:szCs w:val="22"/>
              </w:rPr>
              <w:t xml:space="preserve"> </w:t>
            </w:r>
            <w:r w:rsidRPr="00B42F50">
              <w:rPr>
                <w:sz w:val="22"/>
                <w:szCs w:val="22"/>
              </w:rPr>
              <w:t xml:space="preserve">Mõistame, et eelnõu on seotud Euroopa Parlamendi ja Nõukogu direktiivi (EL) 2025/1 ülevõtmisega. Oleme direktiivi ettevalmistamise käigus korduvalt avaldanud arvamust, et </w:t>
            </w:r>
            <w:r w:rsidRPr="00E55A66">
              <w:rPr>
                <w:sz w:val="22"/>
                <w:szCs w:val="22"/>
              </w:rPr>
              <w:t xml:space="preserve">täiendav raamistik tavalise maksejõuetusmenetluse ja Solventsus II nõuete kõrval ei loo sellist lisandväärtust, mis oleks proportsionaalne selle rakendamisega kaasnevate kulude ja koormusega. Kavandatud meetmete rakendamine suurendab bürokraatiat, halduskoormust ja kulusid nii kindlustusandjate kui ka järelevalvetasandil. Ühtime Eesti Kaubandus-Tööstuskoda 28.01.2026 vastuskirjas toodud seisukohaga, et mõju kindlustusandjate halduskoormusele ja kuludele ei tulene niivõrd üksikutest eraldiseisvatest nõuetest, vaid eelnõus kavandatud kohustuste kumulatiivsest mõjust.1 </w:t>
            </w:r>
          </w:p>
          <w:p w14:paraId="16679BEB" w14:textId="77777777" w:rsidR="00682ADE" w:rsidRPr="00E55A66" w:rsidRDefault="00682ADE" w:rsidP="00D31902">
            <w:pPr>
              <w:jc w:val="both"/>
              <w:rPr>
                <w:sz w:val="22"/>
                <w:szCs w:val="22"/>
              </w:rPr>
            </w:pPr>
            <w:r w:rsidRPr="00E55A66">
              <w:rPr>
                <w:sz w:val="22"/>
                <w:szCs w:val="22"/>
              </w:rPr>
              <w:t>EKsL on tõhusa järelevalve</w:t>
            </w:r>
            <w:r w:rsidRPr="00B42F50">
              <w:rPr>
                <w:sz w:val="22"/>
                <w:szCs w:val="22"/>
              </w:rPr>
              <w:t xml:space="preserve"> ja regulatsioonide poolt. Vastukaaluks uutele kohustustele tuleks EKsL hinnangul </w:t>
            </w:r>
            <w:r w:rsidRPr="00E55A66">
              <w:rPr>
                <w:sz w:val="22"/>
                <w:szCs w:val="22"/>
              </w:rPr>
              <w:t xml:space="preserve">aruandluse mahtu (bürokraatiat) vähendada niivõrd, kuivõrd see on võimalik. </w:t>
            </w:r>
          </w:p>
          <w:p w14:paraId="54A86E04" w14:textId="77777777" w:rsidR="00682ADE" w:rsidRPr="00E55A66" w:rsidRDefault="00682ADE" w:rsidP="00D31902">
            <w:pPr>
              <w:jc w:val="both"/>
              <w:rPr>
                <w:b/>
                <w:bCs/>
                <w:sz w:val="22"/>
                <w:szCs w:val="22"/>
              </w:rPr>
            </w:pPr>
          </w:p>
          <w:p w14:paraId="5F292FD3" w14:textId="1FD54AEF" w:rsidR="00682ADE" w:rsidRPr="009C5CC2" w:rsidRDefault="00682ADE" w:rsidP="00D31902">
            <w:pPr>
              <w:jc w:val="both"/>
              <w:rPr>
                <w:sz w:val="22"/>
                <w:szCs w:val="22"/>
              </w:rPr>
            </w:pPr>
            <w:r w:rsidRPr="009C5CC2">
              <w:rPr>
                <w:sz w:val="22"/>
                <w:szCs w:val="22"/>
              </w:rPr>
              <w:t xml:space="preserve">Teeme ettepaneku korraldada aruandluse audit, et tuvastada a) milliseid aruandeid praktikas kasutatakse järelevalve teostamiseks, b) milliseid andmeid oleks võimalik saada ristkasutuse abil ning vältida sarnaste aruannete korduvat esitamist kindlustusandjate poolt. Kindlustusandjad on valmis ettepanekut koostöös ministeeriumi ja järelevalvega konkretiseerima ja ühiselt arutama. Kindlustusseltsid </w:t>
            </w:r>
            <w:r w:rsidRPr="009C5CC2">
              <w:rPr>
                <w:sz w:val="22"/>
                <w:szCs w:val="22"/>
              </w:rPr>
              <w:lastRenderedPageBreak/>
              <w:t>soovivad, et vähendataks dubleerivate andmete küsimist nii riigisiseselt (Finantsinspektsioon, Statistikaamet) kui ka piiriüleselt Baltimaade järelevalve asutustele.</w:t>
            </w:r>
          </w:p>
        </w:tc>
        <w:tc>
          <w:tcPr>
            <w:tcW w:w="1182" w:type="dxa"/>
            <w:tcBorders>
              <w:bottom w:val="single" w:sz="4" w:space="0" w:color="auto"/>
            </w:tcBorders>
          </w:tcPr>
          <w:p w14:paraId="4A1C9349" w14:textId="2F4C0ECA" w:rsidR="00682ADE" w:rsidRPr="00B42F50" w:rsidRDefault="00E55A66" w:rsidP="00E55A66">
            <w:pPr>
              <w:jc w:val="center"/>
              <w:rPr>
                <w:sz w:val="22"/>
                <w:szCs w:val="22"/>
              </w:rPr>
            </w:pPr>
            <w:r>
              <w:rPr>
                <w:sz w:val="22"/>
                <w:szCs w:val="22"/>
              </w:rPr>
              <w:lastRenderedPageBreak/>
              <w:t>Selgitatud</w:t>
            </w:r>
          </w:p>
        </w:tc>
        <w:tc>
          <w:tcPr>
            <w:tcW w:w="3198" w:type="dxa"/>
            <w:tcBorders>
              <w:bottom w:val="single" w:sz="4" w:space="0" w:color="auto"/>
            </w:tcBorders>
          </w:tcPr>
          <w:p w14:paraId="4E4618CB" w14:textId="77777777" w:rsidR="0036685C" w:rsidRPr="0036685C" w:rsidRDefault="0036685C" w:rsidP="0036685C">
            <w:pPr>
              <w:jc w:val="both"/>
              <w:rPr>
                <w:sz w:val="22"/>
                <w:szCs w:val="22"/>
              </w:rPr>
            </w:pPr>
            <w:r w:rsidRPr="0036685C">
              <w:rPr>
                <w:sz w:val="22"/>
                <w:szCs w:val="22"/>
              </w:rPr>
              <w:t>Peame aruandluse revisjoni põhimõtteliselt põhjendatuks ja tervitatavaks, eriti eesmärgiga hinnata aruannete tegelikku kasutust järelevalves ning vähendada dubleerivat andmekogumist.</w:t>
            </w:r>
          </w:p>
          <w:p w14:paraId="72320573" w14:textId="3C4AD3B5" w:rsidR="0036685C" w:rsidRDefault="0036685C" w:rsidP="0036685C">
            <w:pPr>
              <w:jc w:val="both"/>
              <w:rPr>
                <w:sz w:val="22"/>
                <w:szCs w:val="22"/>
              </w:rPr>
            </w:pPr>
            <w:r w:rsidRPr="0036685C">
              <w:rPr>
                <w:sz w:val="22"/>
                <w:szCs w:val="22"/>
              </w:rPr>
              <w:t>Aruandluse terviklik audit, sealhulgas ülevaade sellest, milliseid aruandeid kasutatakse järelevalve teostamisel, milliseid andmeid on võimalik saada ristkasutuse teel ning millises ulatuses esineb kattuvusi nii riigisiseselt kui ka piiriüleselt, on sisukas ja mahukas töö. Selline analüüs eeldab erinevate asutuste kaasamist ning olemasolevate andmevoogude põhjalikku kaardistamist.</w:t>
            </w:r>
            <w:r w:rsidR="00593B84">
              <w:rPr>
                <w:sz w:val="22"/>
                <w:szCs w:val="22"/>
              </w:rPr>
              <w:t xml:space="preserve"> </w:t>
            </w:r>
          </w:p>
          <w:p w14:paraId="5BE4C0BD" w14:textId="77777777" w:rsidR="00AE4530" w:rsidRPr="0036685C" w:rsidRDefault="00AE4530" w:rsidP="0036685C">
            <w:pPr>
              <w:jc w:val="both"/>
              <w:rPr>
                <w:sz w:val="22"/>
                <w:szCs w:val="22"/>
              </w:rPr>
            </w:pPr>
          </w:p>
          <w:p w14:paraId="0B14BDCA" w14:textId="29CDFA49" w:rsidR="00D32BA4" w:rsidRDefault="00E36145" w:rsidP="00E36145">
            <w:pPr>
              <w:jc w:val="both"/>
              <w:rPr>
                <w:sz w:val="22"/>
                <w:szCs w:val="22"/>
              </w:rPr>
            </w:pPr>
            <w:r w:rsidRPr="00E36145">
              <w:rPr>
                <w:sz w:val="22"/>
                <w:szCs w:val="22"/>
              </w:rPr>
              <w:t>Kindlustussektori aruandlus on suures osas reguleeritud Euroopa Liidu õigusega ja</w:t>
            </w:r>
            <w:r w:rsidR="00264D3B">
              <w:rPr>
                <w:sz w:val="22"/>
                <w:szCs w:val="22"/>
              </w:rPr>
              <w:t xml:space="preserve"> ka</w:t>
            </w:r>
            <w:r w:rsidRPr="00E36145">
              <w:rPr>
                <w:sz w:val="22"/>
                <w:szCs w:val="22"/>
              </w:rPr>
              <w:t xml:space="preserve"> EIOPA on teinud samme aruandluskoormuse vähendamise </w:t>
            </w:r>
            <w:r w:rsidRPr="00E36145">
              <w:rPr>
                <w:sz w:val="22"/>
                <w:szCs w:val="22"/>
              </w:rPr>
              <w:lastRenderedPageBreak/>
              <w:t xml:space="preserve">suunas. </w:t>
            </w:r>
            <w:r w:rsidR="00D32BA4" w:rsidRPr="00891CC2">
              <w:rPr>
                <w:sz w:val="22"/>
                <w:szCs w:val="22"/>
              </w:rPr>
              <w:t>Seega k</w:t>
            </w:r>
            <w:r w:rsidR="00D32BA4" w:rsidRPr="00E64866">
              <w:rPr>
                <w:sz w:val="22"/>
                <w:szCs w:val="22"/>
              </w:rPr>
              <w:t>indlustusandjad esitavad vähe riikliku õiguse alusel kehtestatud aruandeid ja nende aruannete hulgas ei tohiks dubleerivate andmete küsimine teemaks olla.</w:t>
            </w:r>
          </w:p>
          <w:p w14:paraId="1D391D55" w14:textId="77777777" w:rsidR="003B1B63" w:rsidRDefault="003B1B63" w:rsidP="00E36145">
            <w:pPr>
              <w:jc w:val="both"/>
              <w:rPr>
                <w:sz w:val="22"/>
                <w:szCs w:val="22"/>
              </w:rPr>
            </w:pPr>
          </w:p>
          <w:p w14:paraId="794FE8B1" w14:textId="56A04F36" w:rsidR="003B1B63" w:rsidRDefault="003B1B63" w:rsidP="00E36145">
            <w:pPr>
              <w:jc w:val="both"/>
              <w:rPr>
                <w:sz w:val="22"/>
                <w:szCs w:val="22"/>
              </w:rPr>
            </w:pPr>
            <w:r w:rsidRPr="003B1B63">
              <w:rPr>
                <w:sz w:val="22"/>
                <w:szCs w:val="22"/>
              </w:rPr>
              <w:t xml:space="preserve">13. märtsil </w:t>
            </w:r>
            <w:r w:rsidR="00A1106A">
              <w:rPr>
                <w:sz w:val="22"/>
                <w:szCs w:val="22"/>
              </w:rPr>
              <w:t xml:space="preserve">2026 </w:t>
            </w:r>
            <w:r w:rsidRPr="003B1B63">
              <w:rPr>
                <w:sz w:val="22"/>
                <w:szCs w:val="22"/>
              </w:rPr>
              <w:t>avaldatu</w:t>
            </w:r>
            <w:r>
              <w:rPr>
                <w:sz w:val="22"/>
                <w:szCs w:val="22"/>
              </w:rPr>
              <w:t>s</w:t>
            </w:r>
            <w:r w:rsidRPr="003B1B63">
              <w:rPr>
                <w:sz w:val="22"/>
                <w:szCs w:val="22"/>
              </w:rPr>
              <w:t xml:space="preserve"> </w:t>
            </w:r>
            <w:hyperlink r:id="rId11" w:history="1">
              <w:r w:rsidRPr="003B1B63">
                <w:rPr>
                  <w:rStyle w:val="Hperlink"/>
                  <w:sz w:val="22"/>
                  <w:szCs w:val="22"/>
                </w:rPr>
                <w:t>EIOPA arutelupaberile</w:t>
              </w:r>
            </w:hyperlink>
            <w:r w:rsidRPr="003B1B63">
              <w:rPr>
                <w:sz w:val="22"/>
                <w:szCs w:val="22"/>
              </w:rPr>
              <w:t xml:space="preserve">, mille eesmärk on algatada </w:t>
            </w:r>
            <w:r>
              <w:rPr>
                <w:sz w:val="22"/>
                <w:szCs w:val="22"/>
              </w:rPr>
              <w:t>kindlustusandjatega</w:t>
            </w:r>
            <w:r w:rsidRPr="003B1B63">
              <w:rPr>
                <w:sz w:val="22"/>
                <w:szCs w:val="22"/>
              </w:rPr>
              <w:t xml:space="preserve"> arutelu ning koguda neilt tagasisidet, et selgitada välja regulatiivsete aruandlus- ja avalikustamisnõuete võimaliku ebatõhususe, kattuvuste ja ebajärjekindluse põhjused ning leida lahendused nende kõrvaldamiseks.</w:t>
            </w:r>
          </w:p>
          <w:p w14:paraId="40D68FAE" w14:textId="77777777" w:rsidR="00A5351F" w:rsidRDefault="00A5351F" w:rsidP="00E36145">
            <w:pPr>
              <w:jc w:val="both"/>
              <w:rPr>
                <w:sz w:val="22"/>
                <w:szCs w:val="22"/>
              </w:rPr>
            </w:pPr>
          </w:p>
          <w:p w14:paraId="60AE7CA6" w14:textId="4BAFC951" w:rsidR="00A5351F" w:rsidRPr="00A5351F" w:rsidRDefault="00A5351F" w:rsidP="00A5351F">
            <w:pPr>
              <w:jc w:val="both"/>
              <w:rPr>
                <w:sz w:val="22"/>
                <w:szCs w:val="22"/>
              </w:rPr>
            </w:pPr>
            <w:r w:rsidRPr="00A5351F">
              <w:rPr>
                <w:sz w:val="22"/>
                <w:szCs w:val="22"/>
              </w:rPr>
              <w:t xml:space="preserve">Leiame, et koostöös turuosalistega oleks võimalik kaardistada andmepäringud, kus nõutakse andmete esitamist, mis juba on regulaarsetes aruannetes olemas, või mille esitamisest võiks loobuda, kuna need ei ole järelevalve eesmärkide seisukohalt asjakohased. </w:t>
            </w:r>
          </w:p>
          <w:p w14:paraId="3F02D490" w14:textId="77777777" w:rsidR="00A5351F" w:rsidRPr="00891CC2" w:rsidRDefault="00A5351F" w:rsidP="00E36145">
            <w:pPr>
              <w:jc w:val="both"/>
              <w:rPr>
                <w:sz w:val="22"/>
                <w:szCs w:val="22"/>
              </w:rPr>
            </w:pPr>
          </w:p>
          <w:p w14:paraId="463C29A4" w14:textId="0ADE63A5" w:rsidR="00682ADE" w:rsidRPr="00B42F50" w:rsidRDefault="00E55A66" w:rsidP="00E55A66">
            <w:pPr>
              <w:jc w:val="both"/>
              <w:rPr>
                <w:sz w:val="22"/>
                <w:szCs w:val="22"/>
                <w:highlight w:val="yellow"/>
              </w:rPr>
            </w:pPr>
            <w:r w:rsidRPr="00E55A66">
              <w:rPr>
                <w:sz w:val="22"/>
                <w:szCs w:val="22"/>
              </w:rPr>
              <w:t xml:space="preserve">Lisaks juhime tähelepanu, et KKELS </w:t>
            </w:r>
            <w:r w:rsidR="00A933F2">
              <w:rPr>
                <w:sz w:val="22"/>
                <w:szCs w:val="22"/>
              </w:rPr>
              <w:t xml:space="preserve">eelnõusse on lisatud </w:t>
            </w:r>
            <w:r w:rsidR="00891CC2" w:rsidRPr="00E36145">
              <w:rPr>
                <w:sz w:val="22"/>
                <w:szCs w:val="22"/>
              </w:rPr>
              <w:t>finantssektori halduskoormuse vähendamise ettepanek</w:t>
            </w:r>
            <w:r w:rsidRPr="00E55A66">
              <w:rPr>
                <w:sz w:val="22"/>
                <w:szCs w:val="22"/>
              </w:rPr>
              <w:t xml:space="preserve"> selle kohta, et</w:t>
            </w:r>
            <w:r w:rsidR="00891CC2" w:rsidRPr="00E36145">
              <w:rPr>
                <w:sz w:val="22"/>
                <w:szCs w:val="22"/>
              </w:rPr>
              <w:t> kustutada nõue, et majandusaasta aruanne tuleb kättesaadavaks teha kindlustusandja tegevuskohas</w:t>
            </w:r>
            <w:r w:rsidRPr="00E55A66">
              <w:rPr>
                <w:sz w:val="22"/>
                <w:szCs w:val="22"/>
              </w:rPr>
              <w:t>.</w:t>
            </w:r>
          </w:p>
        </w:tc>
      </w:tr>
      <w:tr w:rsidR="00682ADE" w:rsidRPr="00B42F50" w14:paraId="700C510E" w14:textId="77777777" w:rsidTr="009A6EF6">
        <w:tc>
          <w:tcPr>
            <w:tcW w:w="767" w:type="dxa"/>
          </w:tcPr>
          <w:p w14:paraId="4DB8722C" w14:textId="6F9A7D22" w:rsidR="00C038C4" w:rsidRDefault="00790926" w:rsidP="00D31902">
            <w:pPr>
              <w:jc w:val="both"/>
              <w:rPr>
                <w:b/>
                <w:sz w:val="22"/>
                <w:szCs w:val="22"/>
              </w:rPr>
            </w:pPr>
            <w:r>
              <w:rPr>
                <w:b/>
                <w:sz w:val="22"/>
                <w:szCs w:val="22"/>
              </w:rPr>
              <w:lastRenderedPageBreak/>
              <w:t>2</w:t>
            </w:r>
            <w:r w:rsidR="00C038C4">
              <w:rPr>
                <w:b/>
                <w:sz w:val="22"/>
                <w:szCs w:val="22"/>
              </w:rPr>
              <w:t>1.</w:t>
            </w:r>
          </w:p>
          <w:p w14:paraId="2B20D545" w14:textId="0CA5BFB6" w:rsidR="00682ADE" w:rsidRPr="00B42F50" w:rsidRDefault="004C5BDB" w:rsidP="00D31902">
            <w:pPr>
              <w:jc w:val="both"/>
              <w:rPr>
                <w:b/>
                <w:sz w:val="22"/>
                <w:szCs w:val="22"/>
              </w:rPr>
            </w:pPr>
            <w:r w:rsidRPr="00B42F50">
              <w:rPr>
                <w:b/>
                <w:sz w:val="22"/>
                <w:szCs w:val="22"/>
              </w:rPr>
              <w:t>EKsL</w:t>
            </w:r>
          </w:p>
        </w:tc>
        <w:tc>
          <w:tcPr>
            <w:tcW w:w="5514" w:type="dxa"/>
          </w:tcPr>
          <w:p w14:paraId="2291699B" w14:textId="77777777" w:rsidR="00682ADE" w:rsidRPr="00B42F50" w:rsidRDefault="00682ADE" w:rsidP="00D31902">
            <w:pPr>
              <w:jc w:val="both"/>
              <w:rPr>
                <w:sz w:val="22"/>
                <w:szCs w:val="22"/>
              </w:rPr>
            </w:pPr>
            <w:r w:rsidRPr="00B42F50">
              <w:rPr>
                <w:sz w:val="22"/>
                <w:szCs w:val="22"/>
              </w:rPr>
              <w:t xml:space="preserve"> </w:t>
            </w:r>
            <w:r w:rsidRPr="00EF035D">
              <w:rPr>
                <w:sz w:val="22"/>
                <w:szCs w:val="22"/>
              </w:rPr>
              <w:t>1.2.</w:t>
            </w:r>
            <w:r w:rsidRPr="00B42F50">
              <w:rPr>
                <w:b/>
                <w:bCs/>
                <w:sz w:val="22"/>
                <w:szCs w:val="22"/>
              </w:rPr>
              <w:t xml:space="preserve"> </w:t>
            </w:r>
            <w:r w:rsidRPr="00B42F50">
              <w:rPr>
                <w:sz w:val="22"/>
                <w:szCs w:val="22"/>
              </w:rPr>
              <w:t xml:space="preserve">Eelnõu § 6 kohaselt tekib teatud kindlustusandjatel kohustus koostada ja ajakohastada ennetav finantsseisundi taastamise kava, mille kohaldamisala määrab Finantsinspektsioon. </w:t>
            </w:r>
          </w:p>
          <w:p w14:paraId="799ABF9C" w14:textId="77777777" w:rsidR="00682ADE" w:rsidRPr="00B42F50" w:rsidRDefault="00682ADE" w:rsidP="00D31902">
            <w:pPr>
              <w:jc w:val="both"/>
              <w:rPr>
                <w:sz w:val="22"/>
                <w:szCs w:val="22"/>
              </w:rPr>
            </w:pPr>
          </w:p>
          <w:p w14:paraId="07CA616A" w14:textId="77777777" w:rsidR="00682ADE" w:rsidRPr="00B42F50" w:rsidRDefault="00682ADE" w:rsidP="00D31902">
            <w:pPr>
              <w:jc w:val="both"/>
              <w:rPr>
                <w:sz w:val="22"/>
                <w:szCs w:val="22"/>
              </w:rPr>
            </w:pPr>
            <w:r w:rsidRPr="00B42F50">
              <w:rPr>
                <w:sz w:val="22"/>
                <w:szCs w:val="22"/>
              </w:rPr>
              <w:t xml:space="preserve">Vaatamata sellele, et seletuskirjas (lk 214) on märgitud, et ennetava finantsseisundi taastamise kava koostamise kohustus peaks Eestis rakenduma vaid ühele kindlustusandjale, mistõttu on kava koostamise kohustuse praktiline rakendamine Eestis tõenäoliselt väga piiratud, jääb eelnõu sõnastusest tulenevalt kohustuse kohaldamisala õiguslikult avaraks ning sõltuvaks eelkõige Finantsinspektsiooni tulevasest hinnangust ja praktikast. Seetõttu puudub kindlustusandjatel õiguskindlus, et sellist kohustust ei võidaks tulevikus siiski kehtestada ka nende suhtes. Kava koostamine ja ajakohasena hoidmine tähendaks märkimisväärset halduskoormust ning täiendavat </w:t>
            </w:r>
            <w:r w:rsidRPr="00B42F50">
              <w:rPr>
                <w:sz w:val="22"/>
                <w:szCs w:val="22"/>
              </w:rPr>
              <w:lastRenderedPageBreak/>
              <w:t xml:space="preserve">ressursivajadust olukorras, kus kindlustusandjate regulatiivne koormus on juba praegu väga suur. </w:t>
            </w:r>
          </w:p>
          <w:p w14:paraId="4C26C616" w14:textId="77777777" w:rsidR="00682ADE" w:rsidRPr="00B42F50" w:rsidRDefault="00682ADE" w:rsidP="00D31902">
            <w:pPr>
              <w:jc w:val="both"/>
              <w:rPr>
                <w:sz w:val="22"/>
                <w:szCs w:val="22"/>
              </w:rPr>
            </w:pPr>
          </w:p>
          <w:p w14:paraId="25A28A7D" w14:textId="7A07E676" w:rsidR="00682ADE" w:rsidRPr="00B42F50" w:rsidRDefault="00682ADE" w:rsidP="00D31902">
            <w:pPr>
              <w:jc w:val="both"/>
              <w:rPr>
                <w:sz w:val="22"/>
                <w:szCs w:val="22"/>
              </w:rPr>
            </w:pPr>
            <w:r w:rsidRPr="00B42F50">
              <w:rPr>
                <w:sz w:val="22"/>
                <w:szCs w:val="22"/>
              </w:rPr>
              <w:t>Palume eelnõu seletuskirjas täpsustada kriteeriume, mille alusel kindlustusandjatele ennetava finantsseisundi taastamise kava kohustus pannakse, et seeläbi suurendada õigusselgust ja prognoositavust kindlustusandjate jaoks.</w:t>
            </w:r>
          </w:p>
        </w:tc>
        <w:tc>
          <w:tcPr>
            <w:tcW w:w="1182" w:type="dxa"/>
          </w:tcPr>
          <w:p w14:paraId="67A7AFC1" w14:textId="18D46A0E" w:rsidR="00682ADE" w:rsidRPr="00B42F50" w:rsidRDefault="009514EA" w:rsidP="00D31902">
            <w:pPr>
              <w:jc w:val="both"/>
              <w:rPr>
                <w:sz w:val="22"/>
                <w:szCs w:val="22"/>
              </w:rPr>
            </w:pPr>
            <w:r w:rsidRPr="00B42F50">
              <w:rPr>
                <w:sz w:val="22"/>
                <w:szCs w:val="22"/>
              </w:rPr>
              <w:lastRenderedPageBreak/>
              <w:t>Selgitatud</w:t>
            </w:r>
          </w:p>
        </w:tc>
        <w:tc>
          <w:tcPr>
            <w:tcW w:w="3198" w:type="dxa"/>
          </w:tcPr>
          <w:p w14:paraId="144B0E77" w14:textId="76595390" w:rsidR="00682ADE" w:rsidRPr="00B42F50" w:rsidRDefault="00682ADE" w:rsidP="00D31902">
            <w:pPr>
              <w:jc w:val="both"/>
              <w:rPr>
                <w:sz w:val="22"/>
                <w:szCs w:val="22"/>
              </w:rPr>
            </w:pPr>
            <w:r w:rsidRPr="00B42F50">
              <w:rPr>
                <w:sz w:val="22"/>
                <w:szCs w:val="22"/>
              </w:rPr>
              <w:t xml:space="preserve">Juhime </w:t>
            </w:r>
            <w:r w:rsidRPr="007405EA">
              <w:rPr>
                <w:sz w:val="22"/>
                <w:szCs w:val="22"/>
              </w:rPr>
              <w:t xml:space="preserve">tähelepanu seletuskirja lk </w:t>
            </w:r>
            <w:r w:rsidR="00753926" w:rsidRPr="007405EA">
              <w:rPr>
                <w:sz w:val="22"/>
                <w:szCs w:val="22"/>
              </w:rPr>
              <w:t>26</w:t>
            </w:r>
            <w:r w:rsidR="007405EA" w:rsidRPr="007405EA">
              <w:rPr>
                <w:sz w:val="22"/>
                <w:szCs w:val="22"/>
              </w:rPr>
              <w:t>-27</w:t>
            </w:r>
            <w:r w:rsidRPr="007405EA">
              <w:rPr>
                <w:sz w:val="22"/>
                <w:szCs w:val="22"/>
              </w:rPr>
              <w:t>,</w:t>
            </w:r>
            <w:r w:rsidRPr="00B42F50">
              <w:rPr>
                <w:sz w:val="22"/>
                <w:szCs w:val="22"/>
              </w:rPr>
              <w:t xml:space="preserve"> kus on esitatud põhjalik selgitus selle kohta, kuidas tuleks määrata kindlustusandjad, kes peavad esitama ennetava finantsseisundi taastamise kava. Täpsemad kriteeriumid kehtestatakse komisjoni määruses, mille kavandiga on olnud võimalik huvirühmadel tutvuda ja esitada </w:t>
            </w:r>
            <w:r w:rsidR="00A41910">
              <w:rPr>
                <w:sz w:val="22"/>
                <w:szCs w:val="22"/>
              </w:rPr>
              <w:t xml:space="preserve">selle kohta ka </w:t>
            </w:r>
            <w:r w:rsidRPr="00B42F50">
              <w:rPr>
                <w:sz w:val="22"/>
                <w:szCs w:val="22"/>
              </w:rPr>
              <w:t xml:space="preserve">kommentaare </w:t>
            </w:r>
            <w:hyperlink r:id="rId12" w:history="1">
              <w:r w:rsidRPr="00B42F50">
                <w:rPr>
                  <w:rStyle w:val="Hperlink"/>
                  <w:sz w:val="22"/>
                  <w:szCs w:val="22"/>
                </w:rPr>
                <w:t>EIOPA konsultatsiooni raames</w:t>
              </w:r>
            </w:hyperlink>
            <w:r w:rsidRPr="00B42F50">
              <w:rPr>
                <w:sz w:val="22"/>
                <w:szCs w:val="22"/>
              </w:rPr>
              <w:t>.</w:t>
            </w:r>
          </w:p>
          <w:p w14:paraId="4948A531" w14:textId="77777777" w:rsidR="000473CE" w:rsidRPr="00B42F50" w:rsidRDefault="000473CE" w:rsidP="00D31902">
            <w:pPr>
              <w:jc w:val="both"/>
              <w:rPr>
                <w:sz w:val="22"/>
                <w:szCs w:val="22"/>
                <w:highlight w:val="yellow"/>
              </w:rPr>
            </w:pPr>
          </w:p>
          <w:p w14:paraId="270E70DB" w14:textId="7503949B" w:rsidR="000473CE" w:rsidRPr="00B42F50" w:rsidRDefault="006F3855" w:rsidP="00D31902">
            <w:pPr>
              <w:jc w:val="both"/>
              <w:rPr>
                <w:sz w:val="22"/>
                <w:szCs w:val="22"/>
                <w:highlight w:val="yellow"/>
              </w:rPr>
            </w:pPr>
            <w:r w:rsidRPr="00B42F50">
              <w:rPr>
                <w:rFonts w:eastAsiaTheme="majorEastAsia"/>
                <w:sz w:val="22"/>
                <w:szCs w:val="22"/>
                <w:lang w:eastAsia="nl-NL"/>
              </w:rPr>
              <w:t xml:space="preserve">2026. aasta 16. veebruaril avaldas </w:t>
            </w:r>
            <w:hyperlink r:id="rId13" w:history="1">
              <w:r w:rsidRPr="00B42F50">
                <w:rPr>
                  <w:rStyle w:val="Hperlink"/>
                  <w:rFonts w:eastAsiaTheme="majorEastAsia"/>
                  <w:sz w:val="22"/>
                  <w:szCs w:val="22"/>
                  <w:lang w:eastAsia="nl-NL"/>
                </w:rPr>
                <w:t xml:space="preserve">EIOPA raporti ennetava finantsseisundi taastamise kava nõuete ning turuosade </w:t>
              </w:r>
              <w:r w:rsidRPr="00B42F50">
                <w:rPr>
                  <w:rStyle w:val="Hperlink"/>
                  <w:rFonts w:eastAsiaTheme="majorEastAsia"/>
                  <w:sz w:val="22"/>
                  <w:szCs w:val="22"/>
                  <w:lang w:eastAsia="nl-NL"/>
                </w:rPr>
                <w:lastRenderedPageBreak/>
                <w:t>kindlaksmääramisel kasutatavate meetodite kriteeriume käsitleva RTS eelnõu kohta</w:t>
              </w:r>
            </w:hyperlink>
            <w:r w:rsidRPr="00B42F50">
              <w:rPr>
                <w:rFonts w:eastAsiaTheme="majorEastAsia"/>
                <w:sz w:val="22"/>
                <w:szCs w:val="22"/>
                <w:lang w:eastAsia="nl-NL"/>
              </w:rPr>
              <w:t>.</w:t>
            </w:r>
          </w:p>
        </w:tc>
      </w:tr>
      <w:tr w:rsidR="009F421D" w:rsidRPr="00B42F50" w14:paraId="73B8AED4" w14:textId="77777777" w:rsidTr="009A6EF6">
        <w:tc>
          <w:tcPr>
            <w:tcW w:w="767" w:type="dxa"/>
          </w:tcPr>
          <w:p w14:paraId="4AD68949" w14:textId="77777777" w:rsidR="009F421D" w:rsidRPr="00B42F50" w:rsidRDefault="009F421D" w:rsidP="00D31902">
            <w:pPr>
              <w:jc w:val="both"/>
              <w:rPr>
                <w:b/>
                <w:sz w:val="22"/>
                <w:szCs w:val="22"/>
              </w:rPr>
            </w:pPr>
          </w:p>
        </w:tc>
        <w:tc>
          <w:tcPr>
            <w:tcW w:w="5514" w:type="dxa"/>
          </w:tcPr>
          <w:p w14:paraId="235D8000" w14:textId="450C7DAD" w:rsidR="009F421D" w:rsidRPr="00A812EA" w:rsidRDefault="00BA20CA" w:rsidP="00D31902">
            <w:pPr>
              <w:jc w:val="both"/>
              <w:rPr>
                <w:sz w:val="22"/>
                <w:szCs w:val="22"/>
              </w:rPr>
            </w:pPr>
            <w:r w:rsidRPr="00A812EA">
              <w:rPr>
                <w:sz w:val="22"/>
                <w:szCs w:val="22"/>
              </w:rPr>
              <w:t xml:space="preserve">2. § 89. Kindlustustegevuse seaduse muutmine </w:t>
            </w:r>
          </w:p>
        </w:tc>
        <w:tc>
          <w:tcPr>
            <w:tcW w:w="1182" w:type="dxa"/>
          </w:tcPr>
          <w:p w14:paraId="5504489B" w14:textId="77777777" w:rsidR="009F421D" w:rsidRPr="00B42F50" w:rsidRDefault="009F421D" w:rsidP="00D31902">
            <w:pPr>
              <w:jc w:val="both"/>
              <w:rPr>
                <w:sz w:val="22"/>
                <w:szCs w:val="22"/>
              </w:rPr>
            </w:pPr>
          </w:p>
        </w:tc>
        <w:tc>
          <w:tcPr>
            <w:tcW w:w="3198" w:type="dxa"/>
          </w:tcPr>
          <w:p w14:paraId="20623C86" w14:textId="77777777" w:rsidR="009F421D" w:rsidRPr="00B42F50" w:rsidRDefault="009F421D" w:rsidP="00D31902">
            <w:pPr>
              <w:jc w:val="both"/>
              <w:rPr>
                <w:sz w:val="22"/>
                <w:szCs w:val="22"/>
              </w:rPr>
            </w:pPr>
          </w:p>
        </w:tc>
      </w:tr>
      <w:tr w:rsidR="009F421D" w:rsidRPr="00B42F50" w14:paraId="1C082923" w14:textId="77777777" w:rsidTr="009A6EF6">
        <w:tc>
          <w:tcPr>
            <w:tcW w:w="767" w:type="dxa"/>
          </w:tcPr>
          <w:p w14:paraId="0F17E62B" w14:textId="77777777" w:rsidR="009F421D" w:rsidRPr="00B42F50" w:rsidRDefault="009F421D" w:rsidP="00D31902">
            <w:pPr>
              <w:jc w:val="both"/>
              <w:rPr>
                <w:b/>
                <w:sz w:val="22"/>
                <w:szCs w:val="22"/>
              </w:rPr>
            </w:pPr>
          </w:p>
        </w:tc>
        <w:tc>
          <w:tcPr>
            <w:tcW w:w="5514" w:type="dxa"/>
          </w:tcPr>
          <w:p w14:paraId="22E5A982" w14:textId="6DD1A01F" w:rsidR="009F421D" w:rsidRPr="00A812EA" w:rsidRDefault="00144A9D" w:rsidP="00D31902">
            <w:pPr>
              <w:numPr>
                <w:ilvl w:val="1"/>
                <w:numId w:val="8"/>
              </w:numPr>
              <w:jc w:val="both"/>
              <w:rPr>
                <w:sz w:val="22"/>
                <w:szCs w:val="22"/>
              </w:rPr>
            </w:pPr>
            <w:r w:rsidRPr="00A812EA">
              <w:rPr>
                <w:sz w:val="22"/>
                <w:szCs w:val="22"/>
              </w:rPr>
              <w:t>2.1. KindlTS § 42</w:t>
            </w:r>
            <w:r w:rsidRPr="00A812EA">
              <w:rPr>
                <w:sz w:val="22"/>
                <w:szCs w:val="22"/>
                <w:vertAlign w:val="superscript"/>
              </w:rPr>
              <w:t>1</w:t>
            </w:r>
          </w:p>
        </w:tc>
        <w:tc>
          <w:tcPr>
            <w:tcW w:w="1182" w:type="dxa"/>
          </w:tcPr>
          <w:p w14:paraId="5FA4A84E" w14:textId="77777777" w:rsidR="009F421D" w:rsidRPr="00B42F50" w:rsidRDefault="009F421D" w:rsidP="00D31902">
            <w:pPr>
              <w:jc w:val="both"/>
              <w:rPr>
                <w:sz w:val="22"/>
                <w:szCs w:val="22"/>
              </w:rPr>
            </w:pPr>
          </w:p>
        </w:tc>
        <w:tc>
          <w:tcPr>
            <w:tcW w:w="3198" w:type="dxa"/>
          </w:tcPr>
          <w:p w14:paraId="4AD9AE7F" w14:textId="77777777" w:rsidR="009F421D" w:rsidRPr="00B42F50" w:rsidRDefault="009F421D" w:rsidP="00D31902">
            <w:pPr>
              <w:jc w:val="both"/>
              <w:rPr>
                <w:sz w:val="22"/>
                <w:szCs w:val="22"/>
              </w:rPr>
            </w:pPr>
          </w:p>
        </w:tc>
      </w:tr>
      <w:tr w:rsidR="009F421D" w:rsidRPr="00B42F50" w14:paraId="51F1F87C" w14:textId="77777777" w:rsidTr="009A6EF6">
        <w:tc>
          <w:tcPr>
            <w:tcW w:w="767" w:type="dxa"/>
          </w:tcPr>
          <w:p w14:paraId="25043162" w14:textId="0EA0FB61" w:rsidR="00E51AA0" w:rsidRDefault="00790926" w:rsidP="00D31902">
            <w:pPr>
              <w:jc w:val="both"/>
              <w:rPr>
                <w:b/>
                <w:sz w:val="22"/>
                <w:szCs w:val="22"/>
              </w:rPr>
            </w:pPr>
            <w:r>
              <w:rPr>
                <w:b/>
                <w:sz w:val="22"/>
                <w:szCs w:val="22"/>
              </w:rPr>
              <w:t>2</w:t>
            </w:r>
            <w:r w:rsidR="00E51AA0">
              <w:rPr>
                <w:b/>
                <w:sz w:val="22"/>
                <w:szCs w:val="22"/>
              </w:rPr>
              <w:t>2.</w:t>
            </w:r>
          </w:p>
          <w:p w14:paraId="34AE7EBA" w14:textId="1570D766" w:rsidR="009F421D" w:rsidRPr="00B42F50" w:rsidRDefault="004C5BDB" w:rsidP="00D31902">
            <w:pPr>
              <w:jc w:val="both"/>
              <w:rPr>
                <w:b/>
                <w:sz w:val="22"/>
                <w:szCs w:val="22"/>
              </w:rPr>
            </w:pPr>
            <w:r w:rsidRPr="00B42F50">
              <w:rPr>
                <w:b/>
                <w:sz w:val="22"/>
                <w:szCs w:val="22"/>
              </w:rPr>
              <w:t>EKsL</w:t>
            </w:r>
          </w:p>
        </w:tc>
        <w:tc>
          <w:tcPr>
            <w:tcW w:w="5514" w:type="dxa"/>
          </w:tcPr>
          <w:p w14:paraId="25406AA8" w14:textId="11047437" w:rsidR="009F421D" w:rsidRPr="00B42F50" w:rsidRDefault="00D87BBE" w:rsidP="00D31902">
            <w:pPr>
              <w:jc w:val="both"/>
              <w:rPr>
                <w:sz w:val="22"/>
                <w:szCs w:val="22"/>
              </w:rPr>
            </w:pPr>
            <w:r w:rsidRPr="00EF035D">
              <w:rPr>
                <w:sz w:val="22"/>
                <w:szCs w:val="22"/>
              </w:rPr>
              <w:t>2.1.1.</w:t>
            </w:r>
            <w:r w:rsidRPr="00B42F50">
              <w:rPr>
                <w:sz w:val="22"/>
                <w:szCs w:val="22"/>
              </w:rPr>
              <w:t xml:space="preserve"> Palume seletuskirjas täpsustada, kas tehniliste eraldiste suurus koos edasikindlustuse osaga on käsitletud bruto- või neto-edasikindlustuse vaates. Samuti palume lisaselgitust termini „aastane kindlustusmaksete kogusumma“ kohta. Direktiivis kasutatakse mõistet </w:t>
            </w:r>
            <w:r w:rsidRPr="00B42F50">
              <w:rPr>
                <w:i/>
                <w:iCs/>
                <w:sz w:val="22"/>
                <w:szCs w:val="22"/>
              </w:rPr>
              <w:t>“</w:t>
            </w:r>
            <w:proofErr w:type="spellStart"/>
            <w:r w:rsidRPr="00B42F50">
              <w:rPr>
                <w:i/>
                <w:iCs/>
                <w:sz w:val="22"/>
                <w:szCs w:val="22"/>
              </w:rPr>
              <w:t>annual</w:t>
            </w:r>
            <w:proofErr w:type="spellEnd"/>
            <w:r w:rsidRPr="00B42F50">
              <w:rPr>
                <w:i/>
                <w:iCs/>
                <w:sz w:val="22"/>
                <w:szCs w:val="22"/>
              </w:rPr>
              <w:t xml:space="preserve"> gross </w:t>
            </w:r>
            <w:proofErr w:type="spellStart"/>
            <w:r w:rsidRPr="00B42F50">
              <w:rPr>
                <w:i/>
                <w:iCs/>
                <w:sz w:val="22"/>
                <w:szCs w:val="22"/>
              </w:rPr>
              <w:t>written</w:t>
            </w:r>
            <w:proofErr w:type="spellEnd"/>
            <w:r w:rsidRPr="00B42F50">
              <w:rPr>
                <w:i/>
                <w:iCs/>
                <w:sz w:val="22"/>
                <w:szCs w:val="22"/>
              </w:rPr>
              <w:t xml:space="preserve"> </w:t>
            </w:r>
            <w:proofErr w:type="spellStart"/>
            <w:r w:rsidRPr="00B42F50">
              <w:rPr>
                <w:i/>
                <w:iCs/>
                <w:sz w:val="22"/>
                <w:szCs w:val="22"/>
              </w:rPr>
              <w:t>premium</w:t>
            </w:r>
            <w:proofErr w:type="spellEnd"/>
            <w:r w:rsidRPr="00B42F50">
              <w:rPr>
                <w:i/>
                <w:iCs/>
                <w:sz w:val="22"/>
                <w:szCs w:val="22"/>
              </w:rPr>
              <w:t xml:space="preserve"> </w:t>
            </w:r>
            <w:proofErr w:type="spellStart"/>
            <w:r w:rsidRPr="00B42F50">
              <w:rPr>
                <w:i/>
                <w:iCs/>
                <w:sz w:val="22"/>
                <w:szCs w:val="22"/>
              </w:rPr>
              <w:t>income</w:t>
            </w:r>
            <w:proofErr w:type="spellEnd"/>
            <w:r w:rsidRPr="00B42F50">
              <w:rPr>
                <w:i/>
                <w:iCs/>
                <w:sz w:val="22"/>
                <w:szCs w:val="22"/>
              </w:rPr>
              <w:t xml:space="preserve"> </w:t>
            </w:r>
            <w:proofErr w:type="spellStart"/>
            <w:r w:rsidRPr="00B42F50">
              <w:rPr>
                <w:i/>
                <w:iCs/>
                <w:sz w:val="22"/>
                <w:szCs w:val="22"/>
              </w:rPr>
              <w:t>from</w:t>
            </w:r>
            <w:proofErr w:type="spellEnd"/>
            <w:r w:rsidRPr="00B42F50">
              <w:rPr>
                <w:i/>
                <w:iCs/>
                <w:sz w:val="22"/>
                <w:szCs w:val="22"/>
              </w:rPr>
              <w:t xml:space="preserve"> </w:t>
            </w:r>
            <w:proofErr w:type="spellStart"/>
            <w:r w:rsidRPr="00B42F50">
              <w:rPr>
                <w:i/>
                <w:iCs/>
                <w:sz w:val="22"/>
                <w:szCs w:val="22"/>
              </w:rPr>
              <w:t>business</w:t>
            </w:r>
            <w:proofErr w:type="spellEnd"/>
            <w:r w:rsidRPr="00B42F50">
              <w:rPr>
                <w:i/>
                <w:iCs/>
                <w:sz w:val="22"/>
                <w:szCs w:val="22"/>
              </w:rPr>
              <w:t xml:space="preserve"> </w:t>
            </w:r>
            <w:r w:rsidRPr="00B42F50">
              <w:rPr>
                <w:i/>
                <w:iCs/>
                <w:sz w:val="22"/>
                <w:szCs w:val="22"/>
                <w:lang w:val="en-GB"/>
              </w:rPr>
              <w:t>underwritten</w:t>
            </w:r>
            <w:r w:rsidRPr="00B42F50">
              <w:rPr>
                <w:sz w:val="22"/>
                <w:szCs w:val="22"/>
                <w:lang w:val="en-GB"/>
              </w:rPr>
              <w:t>”.</w:t>
            </w:r>
            <w:r w:rsidRPr="00B42F50">
              <w:rPr>
                <w:sz w:val="22"/>
                <w:szCs w:val="22"/>
              </w:rPr>
              <w:t xml:space="preserve"> On võimalik, et selles küsimuses on kujunenud varasem turupraktika või on EIOPA kõnealust küsimust käsitlenud, kuid selguse huvides palume need terminid seletuskirjas täpsemalt avada. </w:t>
            </w:r>
          </w:p>
        </w:tc>
        <w:tc>
          <w:tcPr>
            <w:tcW w:w="1182" w:type="dxa"/>
          </w:tcPr>
          <w:p w14:paraId="334874A4" w14:textId="6F394125" w:rsidR="009F421D" w:rsidRPr="00B42F50" w:rsidRDefault="00D72D70" w:rsidP="00D31902">
            <w:pPr>
              <w:jc w:val="both"/>
              <w:rPr>
                <w:sz w:val="22"/>
                <w:szCs w:val="22"/>
              </w:rPr>
            </w:pPr>
            <w:r w:rsidRPr="00B42F50">
              <w:rPr>
                <w:sz w:val="22"/>
                <w:szCs w:val="22"/>
              </w:rPr>
              <w:t>Arvestatud</w:t>
            </w:r>
          </w:p>
        </w:tc>
        <w:tc>
          <w:tcPr>
            <w:tcW w:w="3198" w:type="dxa"/>
          </w:tcPr>
          <w:p w14:paraId="7DAF8799" w14:textId="40B9E876" w:rsidR="009F421D" w:rsidRPr="00B42F50" w:rsidRDefault="00683834" w:rsidP="00D31902">
            <w:pPr>
              <w:jc w:val="both"/>
              <w:rPr>
                <w:sz w:val="22"/>
                <w:szCs w:val="22"/>
              </w:rPr>
            </w:pPr>
            <w:r w:rsidRPr="00B42F50">
              <w:rPr>
                <w:sz w:val="22"/>
                <w:szCs w:val="22"/>
              </w:rPr>
              <w:t>Seletuskirjas on täpsustatud, et tegemist on brutokindlustusmaksetega. Samuti on eelnõus tehniliste eralduste suuruse korral täpsustatud, et arvesse tuleb võtta suurust enne edasikindlustuse ja SPV osa mahaarvamist.</w:t>
            </w:r>
          </w:p>
        </w:tc>
      </w:tr>
      <w:tr w:rsidR="009F421D" w:rsidRPr="00B42F50" w14:paraId="55F6D218" w14:textId="77777777" w:rsidTr="009A6EF6">
        <w:tc>
          <w:tcPr>
            <w:tcW w:w="767" w:type="dxa"/>
          </w:tcPr>
          <w:p w14:paraId="3BADC8A2" w14:textId="189DC92F" w:rsidR="00E51AA0" w:rsidRDefault="00790926" w:rsidP="00D31902">
            <w:pPr>
              <w:jc w:val="both"/>
              <w:rPr>
                <w:b/>
                <w:sz w:val="22"/>
                <w:szCs w:val="22"/>
              </w:rPr>
            </w:pPr>
            <w:r>
              <w:rPr>
                <w:b/>
                <w:sz w:val="22"/>
                <w:szCs w:val="22"/>
              </w:rPr>
              <w:t>2</w:t>
            </w:r>
            <w:r w:rsidR="00E51AA0">
              <w:rPr>
                <w:b/>
                <w:sz w:val="22"/>
                <w:szCs w:val="22"/>
              </w:rPr>
              <w:t>3.</w:t>
            </w:r>
          </w:p>
          <w:p w14:paraId="4BEC9454" w14:textId="61E57B08" w:rsidR="009F421D" w:rsidRPr="00B42F50" w:rsidRDefault="004C5BDB" w:rsidP="00D31902">
            <w:pPr>
              <w:jc w:val="both"/>
              <w:rPr>
                <w:b/>
                <w:sz w:val="22"/>
                <w:szCs w:val="22"/>
              </w:rPr>
            </w:pPr>
            <w:r w:rsidRPr="00B42F50">
              <w:rPr>
                <w:b/>
                <w:sz w:val="22"/>
                <w:szCs w:val="22"/>
              </w:rPr>
              <w:t>EKsL</w:t>
            </w:r>
          </w:p>
        </w:tc>
        <w:tc>
          <w:tcPr>
            <w:tcW w:w="5514" w:type="dxa"/>
          </w:tcPr>
          <w:p w14:paraId="4E033793" w14:textId="350F2694" w:rsidR="009F421D" w:rsidRPr="00B42F50" w:rsidRDefault="00DA3FBE" w:rsidP="00D31902">
            <w:pPr>
              <w:jc w:val="both"/>
              <w:rPr>
                <w:sz w:val="22"/>
                <w:szCs w:val="22"/>
              </w:rPr>
            </w:pPr>
            <w:r w:rsidRPr="00EF035D">
              <w:rPr>
                <w:sz w:val="22"/>
                <w:szCs w:val="22"/>
              </w:rPr>
              <w:t>2.1.2.</w:t>
            </w:r>
            <w:r w:rsidRPr="00B42F50">
              <w:rPr>
                <w:sz w:val="22"/>
                <w:szCs w:val="22"/>
              </w:rPr>
              <w:t xml:space="preserve"> Kommenteeritava paragrahvi lõige 3 on eelnõus sõnastatud kui „kombineeritud suhtarv edasikindlustuseta on alla 100 protsendi“. Ingliskeelses direktiivitekstis on täpsem ja harjumuspärasem sõnastus </w:t>
            </w:r>
            <w:r w:rsidRPr="00B42F50">
              <w:rPr>
                <w:sz w:val="22"/>
                <w:szCs w:val="22"/>
                <w:lang w:val="en-GB"/>
              </w:rPr>
              <w:t>“</w:t>
            </w:r>
            <w:r w:rsidRPr="00B42F50">
              <w:rPr>
                <w:i/>
                <w:iCs/>
                <w:sz w:val="22"/>
                <w:szCs w:val="22"/>
                <w:lang w:val="en-GB"/>
              </w:rPr>
              <w:t>average combined ratio for non-life activities net of reinsurance of the last three years is less than 100 %</w:t>
            </w:r>
            <w:r w:rsidRPr="00B42F50">
              <w:rPr>
                <w:sz w:val="22"/>
                <w:szCs w:val="22"/>
                <w:lang w:val="en-GB"/>
              </w:rPr>
              <w:t xml:space="preserve">”. </w:t>
            </w:r>
            <w:r w:rsidRPr="00B42F50">
              <w:rPr>
                <w:sz w:val="22"/>
                <w:szCs w:val="22"/>
              </w:rPr>
              <w:t xml:space="preserve">Palume seletuskirjas täpsustada, et arvutus tehakse selgelt ilma edasikindlustuse osata ("netona edasikindlustusest"). </w:t>
            </w:r>
          </w:p>
        </w:tc>
        <w:tc>
          <w:tcPr>
            <w:tcW w:w="1182" w:type="dxa"/>
          </w:tcPr>
          <w:p w14:paraId="6C77F32B" w14:textId="65022CA7" w:rsidR="009F421D" w:rsidRPr="00B42F50" w:rsidRDefault="00F50EAD" w:rsidP="00D31902">
            <w:pPr>
              <w:jc w:val="both"/>
              <w:rPr>
                <w:sz w:val="22"/>
                <w:szCs w:val="22"/>
              </w:rPr>
            </w:pPr>
            <w:r w:rsidRPr="00B42F50">
              <w:rPr>
                <w:sz w:val="22"/>
                <w:szCs w:val="22"/>
              </w:rPr>
              <w:t>Arvestatud</w:t>
            </w:r>
          </w:p>
        </w:tc>
        <w:tc>
          <w:tcPr>
            <w:tcW w:w="3198" w:type="dxa"/>
          </w:tcPr>
          <w:p w14:paraId="50B8A09F" w14:textId="679AF587" w:rsidR="009F421D" w:rsidRPr="00B42F50" w:rsidRDefault="00F97A62" w:rsidP="00D31902">
            <w:pPr>
              <w:jc w:val="both"/>
              <w:rPr>
                <w:sz w:val="22"/>
                <w:szCs w:val="22"/>
              </w:rPr>
            </w:pPr>
            <w:r w:rsidRPr="00B42F50">
              <w:rPr>
                <w:sz w:val="22"/>
                <w:szCs w:val="22"/>
              </w:rPr>
              <w:t>Eelnõu sõnastuses on täpsustatud „pärast edasikindlustuse arvesse võtmist“</w:t>
            </w:r>
          </w:p>
        </w:tc>
      </w:tr>
      <w:tr w:rsidR="009F421D" w:rsidRPr="00B42F50" w14:paraId="70BF7CD9" w14:textId="77777777" w:rsidTr="009A6EF6">
        <w:tc>
          <w:tcPr>
            <w:tcW w:w="767" w:type="dxa"/>
          </w:tcPr>
          <w:p w14:paraId="7299FCBC" w14:textId="27AA2B52" w:rsidR="00E51AA0" w:rsidRDefault="00790926" w:rsidP="00D31902">
            <w:pPr>
              <w:jc w:val="both"/>
              <w:rPr>
                <w:b/>
                <w:sz w:val="22"/>
                <w:szCs w:val="22"/>
              </w:rPr>
            </w:pPr>
            <w:r>
              <w:rPr>
                <w:b/>
                <w:sz w:val="22"/>
                <w:szCs w:val="22"/>
              </w:rPr>
              <w:t>2</w:t>
            </w:r>
            <w:r w:rsidR="00E51AA0">
              <w:rPr>
                <w:b/>
                <w:sz w:val="22"/>
                <w:szCs w:val="22"/>
              </w:rPr>
              <w:t>4.</w:t>
            </w:r>
          </w:p>
          <w:p w14:paraId="78E6D6DB" w14:textId="73252219" w:rsidR="009F421D" w:rsidRPr="00B42F50" w:rsidRDefault="004C5BDB" w:rsidP="00D31902">
            <w:pPr>
              <w:jc w:val="both"/>
              <w:rPr>
                <w:b/>
                <w:sz w:val="22"/>
                <w:szCs w:val="22"/>
              </w:rPr>
            </w:pPr>
            <w:r w:rsidRPr="00B42F50">
              <w:rPr>
                <w:b/>
                <w:sz w:val="22"/>
                <w:szCs w:val="22"/>
              </w:rPr>
              <w:t>EKsL</w:t>
            </w:r>
          </w:p>
        </w:tc>
        <w:tc>
          <w:tcPr>
            <w:tcW w:w="5514" w:type="dxa"/>
          </w:tcPr>
          <w:p w14:paraId="0E2E1383" w14:textId="7B7CE5CE" w:rsidR="00CB27EF" w:rsidRPr="00A812EA" w:rsidRDefault="00CB27EF" w:rsidP="00D31902">
            <w:pPr>
              <w:numPr>
                <w:ilvl w:val="1"/>
                <w:numId w:val="9"/>
              </w:numPr>
              <w:jc w:val="both"/>
              <w:rPr>
                <w:sz w:val="22"/>
                <w:szCs w:val="22"/>
              </w:rPr>
            </w:pPr>
            <w:r w:rsidRPr="00A812EA">
              <w:rPr>
                <w:sz w:val="22"/>
                <w:szCs w:val="22"/>
              </w:rPr>
              <w:t>2.2. KindlTS § 42</w:t>
            </w:r>
            <w:r w:rsidRPr="00A812EA">
              <w:rPr>
                <w:sz w:val="22"/>
                <w:szCs w:val="22"/>
                <w:vertAlign w:val="superscript"/>
              </w:rPr>
              <w:t>7</w:t>
            </w:r>
            <w:r w:rsidRPr="00A812EA">
              <w:rPr>
                <w:sz w:val="22"/>
                <w:szCs w:val="22"/>
              </w:rPr>
              <w:t xml:space="preserve"> lg 2 p 1 </w:t>
            </w:r>
          </w:p>
          <w:p w14:paraId="4ACD7E3A" w14:textId="1785F3FF" w:rsidR="009F421D" w:rsidRPr="00B42F50" w:rsidRDefault="00CB27EF" w:rsidP="00D31902">
            <w:pPr>
              <w:jc w:val="both"/>
              <w:rPr>
                <w:sz w:val="22"/>
                <w:szCs w:val="22"/>
              </w:rPr>
            </w:pPr>
            <w:r w:rsidRPr="00B42F50">
              <w:rPr>
                <w:sz w:val="22"/>
                <w:szCs w:val="22"/>
              </w:rPr>
              <w:t>Eelnõus on kirjas, et intressiriski alamooduli kapitalinõue on suurem kui 5 % grupi kindlustustehnilistest eraldistest, kuid direktiivi artiklis 213a lg 1 punktis a(i) on tingimus sõnastatud vastupidiselt: “</w:t>
            </w:r>
            <w:proofErr w:type="spellStart"/>
            <w:r w:rsidRPr="00B42F50">
              <w:rPr>
                <w:i/>
                <w:iCs/>
                <w:sz w:val="22"/>
                <w:szCs w:val="22"/>
              </w:rPr>
              <w:t>is</w:t>
            </w:r>
            <w:proofErr w:type="spellEnd"/>
            <w:r w:rsidRPr="00B42F50">
              <w:rPr>
                <w:i/>
                <w:iCs/>
                <w:sz w:val="22"/>
                <w:szCs w:val="22"/>
              </w:rPr>
              <w:t xml:space="preserve"> </w:t>
            </w:r>
            <w:proofErr w:type="spellStart"/>
            <w:r w:rsidRPr="00B42F50">
              <w:rPr>
                <w:i/>
                <w:iCs/>
                <w:sz w:val="22"/>
                <w:szCs w:val="22"/>
              </w:rPr>
              <w:t>not</w:t>
            </w:r>
            <w:proofErr w:type="spellEnd"/>
            <w:r w:rsidRPr="00B42F50">
              <w:rPr>
                <w:i/>
                <w:iCs/>
                <w:sz w:val="22"/>
                <w:szCs w:val="22"/>
              </w:rPr>
              <w:t xml:space="preserve"> </w:t>
            </w:r>
            <w:proofErr w:type="spellStart"/>
            <w:r w:rsidRPr="00B42F50">
              <w:rPr>
                <w:i/>
                <w:iCs/>
                <w:sz w:val="22"/>
                <w:szCs w:val="22"/>
              </w:rPr>
              <w:t>higher</w:t>
            </w:r>
            <w:proofErr w:type="spellEnd"/>
            <w:r w:rsidRPr="00B42F50">
              <w:rPr>
                <w:i/>
                <w:iCs/>
                <w:sz w:val="22"/>
                <w:szCs w:val="22"/>
              </w:rPr>
              <w:t xml:space="preserve"> </w:t>
            </w:r>
            <w:proofErr w:type="spellStart"/>
            <w:r w:rsidRPr="00B42F50">
              <w:rPr>
                <w:i/>
                <w:iCs/>
                <w:sz w:val="22"/>
                <w:szCs w:val="22"/>
              </w:rPr>
              <w:t>than</w:t>
            </w:r>
            <w:proofErr w:type="spellEnd"/>
            <w:r w:rsidRPr="00B42F50">
              <w:rPr>
                <w:i/>
                <w:iCs/>
                <w:sz w:val="22"/>
                <w:szCs w:val="22"/>
              </w:rPr>
              <w:t xml:space="preserve"> 5 %</w:t>
            </w:r>
            <w:r w:rsidRPr="00B42F50">
              <w:rPr>
                <w:sz w:val="22"/>
                <w:szCs w:val="22"/>
              </w:rPr>
              <w:t>”.</w:t>
            </w:r>
          </w:p>
        </w:tc>
        <w:tc>
          <w:tcPr>
            <w:tcW w:w="1182" w:type="dxa"/>
          </w:tcPr>
          <w:p w14:paraId="48705BD9" w14:textId="05C8FC2E" w:rsidR="009F421D" w:rsidRPr="00B42F50" w:rsidRDefault="00CB27EF" w:rsidP="00D31902">
            <w:pPr>
              <w:jc w:val="both"/>
              <w:rPr>
                <w:sz w:val="22"/>
                <w:szCs w:val="22"/>
              </w:rPr>
            </w:pPr>
            <w:r w:rsidRPr="00B42F50">
              <w:rPr>
                <w:sz w:val="22"/>
                <w:szCs w:val="22"/>
              </w:rPr>
              <w:t>Arvestatud</w:t>
            </w:r>
          </w:p>
        </w:tc>
        <w:tc>
          <w:tcPr>
            <w:tcW w:w="3198" w:type="dxa"/>
          </w:tcPr>
          <w:p w14:paraId="19807970" w14:textId="77777777" w:rsidR="009F421D" w:rsidRPr="00B42F50" w:rsidRDefault="009F421D" w:rsidP="00D31902">
            <w:pPr>
              <w:jc w:val="both"/>
              <w:rPr>
                <w:sz w:val="22"/>
                <w:szCs w:val="22"/>
              </w:rPr>
            </w:pPr>
          </w:p>
        </w:tc>
      </w:tr>
      <w:tr w:rsidR="0071731E" w:rsidRPr="00B42F50" w14:paraId="00AC2072" w14:textId="77777777" w:rsidTr="009A6EF6">
        <w:tc>
          <w:tcPr>
            <w:tcW w:w="767" w:type="dxa"/>
          </w:tcPr>
          <w:p w14:paraId="6BDEB852" w14:textId="77777777" w:rsidR="0071731E" w:rsidRPr="00B42F50" w:rsidRDefault="0071731E" w:rsidP="00D31902">
            <w:pPr>
              <w:jc w:val="both"/>
              <w:rPr>
                <w:b/>
                <w:sz w:val="22"/>
                <w:szCs w:val="22"/>
              </w:rPr>
            </w:pPr>
          </w:p>
        </w:tc>
        <w:tc>
          <w:tcPr>
            <w:tcW w:w="5514" w:type="dxa"/>
          </w:tcPr>
          <w:p w14:paraId="5A52249D" w14:textId="23A09C09" w:rsidR="0071731E" w:rsidRPr="00A812EA" w:rsidRDefault="0071731E" w:rsidP="00D31902">
            <w:pPr>
              <w:jc w:val="both"/>
              <w:rPr>
                <w:sz w:val="22"/>
                <w:szCs w:val="22"/>
              </w:rPr>
            </w:pPr>
            <w:r w:rsidRPr="00A812EA">
              <w:rPr>
                <w:sz w:val="22"/>
                <w:szCs w:val="22"/>
              </w:rPr>
              <w:t>2.3. Pikaajaliste aktsiainvesteeringute kapitalinõue (KindlTS § 67¹)</w:t>
            </w:r>
          </w:p>
        </w:tc>
        <w:tc>
          <w:tcPr>
            <w:tcW w:w="1182" w:type="dxa"/>
          </w:tcPr>
          <w:p w14:paraId="1C537A92" w14:textId="77777777" w:rsidR="0071731E" w:rsidRPr="00B42F50" w:rsidRDefault="0071731E" w:rsidP="00D31902">
            <w:pPr>
              <w:jc w:val="both"/>
              <w:rPr>
                <w:sz w:val="22"/>
                <w:szCs w:val="22"/>
              </w:rPr>
            </w:pPr>
          </w:p>
        </w:tc>
        <w:tc>
          <w:tcPr>
            <w:tcW w:w="3198" w:type="dxa"/>
          </w:tcPr>
          <w:p w14:paraId="4991FD38" w14:textId="77777777" w:rsidR="0071731E" w:rsidRPr="00B42F50" w:rsidRDefault="0071731E" w:rsidP="00D31902">
            <w:pPr>
              <w:jc w:val="both"/>
              <w:rPr>
                <w:sz w:val="22"/>
                <w:szCs w:val="22"/>
              </w:rPr>
            </w:pPr>
          </w:p>
        </w:tc>
      </w:tr>
      <w:tr w:rsidR="009F421D" w:rsidRPr="00B42F50" w14:paraId="7D6E6096" w14:textId="77777777" w:rsidTr="009A6EF6">
        <w:tc>
          <w:tcPr>
            <w:tcW w:w="767" w:type="dxa"/>
          </w:tcPr>
          <w:p w14:paraId="769D5C5C" w14:textId="0510A300" w:rsidR="00E51AA0" w:rsidRDefault="00790926" w:rsidP="00D31902">
            <w:pPr>
              <w:jc w:val="both"/>
              <w:rPr>
                <w:b/>
                <w:sz w:val="22"/>
                <w:szCs w:val="22"/>
              </w:rPr>
            </w:pPr>
            <w:r>
              <w:rPr>
                <w:b/>
                <w:sz w:val="22"/>
                <w:szCs w:val="22"/>
              </w:rPr>
              <w:t>2</w:t>
            </w:r>
            <w:r w:rsidR="00E51AA0">
              <w:rPr>
                <w:b/>
                <w:sz w:val="22"/>
                <w:szCs w:val="22"/>
              </w:rPr>
              <w:t>5.</w:t>
            </w:r>
          </w:p>
          <w:p w14:paraId="7D2595C0" w14:textId="2C1D2EE9" w:rsidR="009F421D" w:rsidRPr="00B42F50" w:rsidRDefault="004C5BDB" w:rsidP="00D31902">
            <w:pPr>
              <w:jc w:val="both"/>
              <w:rPr>
                <w:b/>
                <w:sz w:val="22"/>
                <w:szCs w:val="22"/>
              </w:rPr>
            </w:pPr>
            <w:r w:rsidRPr="00B42F50">
              <w:rPr>
                <w:b/>
                <w:sz w:val="22"/>
                <w:szCs w:val="22"/>
              </w:rPr>
              <w:t>EKsL</w:t>
            </w:r>
          </w:p>
        </w:tc>
        <w:tc>
          <w:tcPr>
            <w:tcW w:w="5514" w:type="dxa"/>
          </w:tcPr>
          <w:p w14:paraId="25EEEFF2" w14:textId="3C765D15" w:rsidR="009F421D" w:rsidRPr="00B42F50" w:rsidRDefault="0071731E" w:rsidP="00D31902">
            <w:pPr>
              <w:jc w:val="both"/>
              <w:rPr>
                <w:sz w:val="22"/>
                <w:szCs w:val="22"/>
              </w:rPr>
            </w:pPr>
            <w:r w:rsidRPr="00315872">
              <w:rPr>
                <w:sz w:val="22"/>
                <w:szCs w:val="22"/>
              </w:rPr>
              <w:t>2.3.1.</w:t>
            </w:r>
            <w:r w:rsidRPr="00B42F50">
              <w:rPr>
                <w:sz w:val="22"/>
                <w:szCs w:val="22"/>
              </w:rPr>
              <w:t xml:space="preserve"> Soovitame üle vaadata lõike 2 rakendamise tingimused. Esimesed kuus punkti kirjeldavad tingimusi, mille täitmisel on tegemist pikaajaliste aktsiainvesteeringutega (vt ka sõnastus: „täidetud on kõik järgmised“), samas kui punkt 7 välistab selle staatuse. Kuna viimane on praegu ebaselge, teeme ettepaneku sõnastada ka see positiivses võtmes – st tuua selgelt välja, millistel tingimustel investeering kuulub pikaajaliste hulka (nt osalus alla 20%, kusjuures seletuskirjas täpsustada, et „alla 20 % ja mitte võrdne 20 %-</w:t>
            </w:r>
            <w:proofErr w:type="spellStart"/>
            <w:r w:rsidRPr="00B42F50">
              <w:rPr>
                <w:sz w:val="22"/>
                <w:szCs w:val="22"/>
              </w:rPr>
              <w:t>ga</w:t>
            </w:r>
            <w:proofErr w:type="spellEnd"/>
            <w:r w:rsidRPr="00B42F50">
              <w:rPr>
                <w:sz w:val="22"/>
                <w:szCs w:val="22"/>
              </w:rPr>
              <w:t xml:space="preserve">“).  </w:t>
            </w:r>
          </w:p>
        </w:tc>
        <w:tc>
          <w:tcPr>
            <w:tcW w:w="1182" w:type="dxa"/>
          </w:tcPr>
          <w:p w14:paraId="5A77E0DE" w14:textId="31981118" w:rsidR="009F421D" w:rsidRPr="00B42F50" w:rsidRDefault="00821DE0" w:rsidP="00D31902">
            <w:pPr>
              <w:jc w:val="both"/>
              <w:rPr>
                <w:sz w:val="22"/>
                <w:szCs w:val="22"/>
              </w:rPr>
            </w:pPr>
            <w:r w:rsidRPr="00B42F50">
              <w:rPr>
                <w:sz w:val="22"/>
                <w:szCs w:val="22"/>
              </w:rPr>
              <w:t>Arvestatud</w:t>
            </w:r>
          </w:p>
        </w:tc>
        <w:tc>
          <w:tcPr>
            <w:tcW w:w="3198" w:type="dxa"/>
          </w:tcPr>
          <w:p w14:paraId="43FA8934" w14:textId="0B533DA6" w:rsidR="009F421D" w:rsidRPr="00B42F50" w:rsidRDefault="00BD1BFB" w:rsidP="00D31902">
            <w:pPr>
              <w:jc w:val="both"/>
              <w:rPr>
                <w:sz w:val="22"/>
                <w:szCs w:val="22"/>
              </w:rPr>
            </w:pPr>
            <w:r w:rsidRPr="00B42F50">
              <w:rPr>
                <w:sz w:val="22"/>
                <w:szCs w:val="22"/>
              </w:rPr>
              <w:t>Punkti 7 sõnastust on korrigeeritud.</w:t>
            </w:r>
          </w:p>
        </w:tc>
      </w:tr>
      <w:tr w:rsidR="009A6EF6" w:rsidRPr="00B42F50" w14:paraId="71201DBC" w14:textId="77777777" w:rsidTr="009A6EF6">
        <w:tc>
          <w:tcPr>
            <w:tcW w:w="767" w:type="dxa"/>
          </w:tcPr>
          <w:p w14:paraId="437048AD" w14:textId="77777777" w:rsidR="009A6EF6" w:rsidRPr="00B42F50" w:rsidRDefault="009A6EF6" w:rsidP="00D31902">
            <w:pPr>
              <w:jc w:val="both"/>
              <w:rPr>
                <w:b/>
                <w:sz w:val="22"/>
                <w:szCs w:val="22"/>
              </w:rPr>
            </w:pPr>
          </w:p>
        </w:tc>
        <w:tc>
          <w:tcPr>
            <w:tcW w:w="5514" w:type="dxa"/>
          </w:tcPr>
          <w:p w14:paraId="45A0EBFD" w14:textId="0284D715" w:rsidR="009A6EF6" w:rsidRPr="00B42F50" w:rsidRDefault="009A6EF6" w:rsidP="00D31902">
            <w:pPr>
              <w:jc w:val="both"/>
              <w:rPr>
                <w:b/>
                <w:bCs/>
                <w:sz w:val="22"/>
                <w:szCs w:val="22"/>
              </w:rPr>
            </w:pPr>
            <w:r w:rsidRPr="00B42F50">
              <w:rPr>
                <w:sz w:val="22"/>
                <w:szCs w:val="22"/>
              </w:rPr>
              <w:t>Lisaks juhime tähelepanu, et sättes toodud asjaolusid peab tõendama „Finantsinspektsioonile“ veenvalt, samas direktiivis kasutatakse „rahuldavalt“ (nii on see sätestatud ka teistes ELi õigust harmoniseerivates õigusaktides (vt nt FELS, ATKEAS). „Veenvalt“ ja „rahuldavalt“ ei ole sünonüümid ja sõna „veenvalt“ seab tõendamisele kvalitatiivselt oluliselt kõrgema standardi. Teeme ettepaneku kasutada sõna „rahuldavalt“, mis on kasutusel nii meie õiguses kui ka direktiivide eestikeelsetes versioonides.</w:t>
            </w:r>
          </w:p>
        </w:tc>
        <w:tc>
          <w:tcPr>
            <w:tcW w:w="1182" w:type="dxa"/>
          </w:tcPr>
          <w:p w14:paraId="498A2C44" w14:textId="23F7D6B7" w:rsidR="009A6EF6" w:rsidRPr="00B42F50" w:rsidRDefault="009A6EF6" w:rsidP="00D31902">
            <w:pPr>
              <w:jc w:val="both"/>
              <w:rPr>
                <w:sz w:val="22"/>
                <w:szCs w:val="22"/>
              </w:rPr>
            </w:pPr>
            <w:r w:rsidRPr="00B42F50">
              <w:rPr>
                <w:sz w:val="22"/>
                <w:szCs w:val="22"/>
              </w:rPr>
              <w:t>Arvestatud</w:t>
            </w:r>
          </w:p>
        </w:tc>
        <w:tc>
          <w:tcPr>
            <w:tcW w:w="3198" w:type="dxa"/>
          </w:tcPr>
          <w:p w14:paraId="54D100FF" w14:textId="77777777" w:rsidR="009A6EF6" w:rsidRPr="00B42F50" w:rsidRDefault="009A6EF6" w:rsidP="00D31902">
            <w:pPr>
              <w:jc w:val="both"/>
              <w:rPr>
                <w:sz w:val="22"/>
                <w:szCs w:val="22"/>
              </w:rPr>
            </w:pPr>
          </w:p>
        </w:tc>
      </w:tr>
      <w:tr w:rsidR="009F421D" w:rsidRPr="00B42F50" w14:paraId="6997488A" w14:textId="77777777" w:rsidTr="009A6EF6">
        <w:tc>
          <w:tcPr>
            <w:tcW w:w="767" w:type="dxa"/>
          </w:tcPr>
          <w:p w14:paraId="6909F27D" w14:textId="2E08FAC6" w:rsidR="00E51AA0" w:rsidRDefault="00790926" w:rsidP="00D31902">
            <w:pPr>
              <w:jc w:val="both"/>
              <w:rPr>
                <w:b/>
                <w:sz w:val="22"/>
                <w:szCs w:val="22"/>
              </w:rPr>
            </w:pPr>
            <w:r>
              <w:rPr>
                <w:b/>
                <w:sz w:val="22"/>
                <w:szCs w:val="22"/>
              </w:rPr>
              <w:lastRenderedPageBreak/>
              <w:t>2</w:t>
            </w:r>
            <w:r w:rsidR="00E51AA0">
              <w:rPr>
                <w:b/>
                <w:sz w:val="22"/>
                <w:szCs w:val="22"/>
              </w:rPr>
              <w:t>6.</w:t>
            </w:r>
          </w:p>
          <w:p w14:paraId="0E7C4C63" w14:textId="608F0043" w:rsidR="009F421D" w:rsidRPr="00B42F50" w:rsidRDefault="004C5BDB" w:rsidP="00D31902">
            <w:pPr>
              <w:jc w:val="both"/>
              <w:rPr>
                <w:b/>
                <w:sz w:val="22"/>
                <w:szCs w:val="22"/>
              </w:rPr>
            </w:pPr>
            <w:r w:rsidRPr="00B42F50">
              <w:rPr>
                <w:b/>
                <w:sz w:val="22"/>
                <w:szCs w:val="22"/>
              </w:rPr>
              <w:t>EKsL</w:t>
            </w:r>
          </w:p>
        </w:tc>
        <w:tc>
          <w:tcPr>
            <w:tcW w:w="5514" w:type="dxa"/>
          </w:tcPr>
          <w:p w14:paraId="518B2909" w14:textId="570EED5C" w:rsidR="00E666FE" w:rsidRPr="00B42F50" w:rsidRDefault="00E666FE" w:rsidP="00D31902">
            <w:pPr>
              <w:jc w:val="both"/>
              <w:rPr>
                <w:sz w:val="22"/>
                <w:szCs w:val="22"/>
              </w:rPr>
            </w:pPr>
            <w:r w:rsidRPr="00A812EA">
              <w:rPr>
                <w:sz w:val="22"/>
                <w:szCs w:val="22"/>
              </w:rPr>
              <w:t>2.3.2.</w:t>
            </w:r>
            <w:r w:rsidRPr="00B42F50">
              <w:rPr>
                <w:sz w:val="22"/>
                <w:szCs w:val="22"/>
              </w:rPr>
              <w:t xml:space="preserve"> Direktiivis on pikaajaline investeering määratletud kui investeering, mida hoitakse „</w:t>
            </w:r>
            <w:proofErr w:type="spellStart"/>
            <w:r w:rsidRPr="00B42F50">
              <w:rPr>
                <w:i/>
                <w:iCs/>
                <w:sz w:val="22"/>
                <w:szCs w:val="22"/>
              </w:rPr>
              <w:t>for</w:t>
            </w:r>
            <w:proofErr w:type="spellEnd"/>
            <w:r w:rsidRPr="00B42F50">
              <w:rPr>
                <w:i/>
                <w:iCs/>
                <w:sz w:val="22"/>
                <w:szCs w:val="22"/>
              </w:rPr>
              <w:t xml:space="preserve"> a </w:t>
            </w:r>
            <w:proofErr w:type="spellStart"/>
            <w:r w:rsidRPr="00B42F50">
              <w:rPr>
                <w:i/>
                <w:iCs/>
                <w:sz w:val="22"/>
                <w:szCs w:val="22"/>
              </w:rPr>
              <w:t>period</w:t>
            </w:r>
            <w:proofErr w:type="spellEnd"/>
            <w:r w:rsidRPr="00B42F50">
              <w:rPr>
                <w:i/>
                <w:iCs/>
                <w:sz w:val="22"/>
                <w:szCs w:val="22"/>
              </w:rPr>
              <w:t xml:space="preserve"> </w:t>
            </w:r>
            <w:proofErr w:type="spellStart"/>
            <w:r w:rsidRPr="00B42F50">
              <w:rPr>
                <w:i/>
                <w:iCs/>
                <w:sz w:val="22"/>
                <w:szCs w:val="22"/>
              </w:rPr>
              <w:t>that</w:t>
            </w:r>
            <w:proofErr w:type="spellEnd"/>
            <w:r w:rsidRPr="00B42F50">
              <w:rPr>
                <w:i/>
                <w:iCs/>
                <w:sz w:val="22"/>
                <w:szCs w:val="22"/>
              </w:rPr>
              <w:t xml:space="preserve"> </w:t>
            </w:r>
            <w:proofErr w:type="spellStart"/>
            <w:r w:rsidRPr="00B42F50">
              <w:rPr>
                <w:i/>
                <w:iCs/>
                <w:sz w:val="22"/>
                <w:szCs w:val="22"/>
              </w:rPr>
              <w:t>exceeds</w:t>
            </w:r>
            <w:proofErr w:type="spellEnd"/>
            <w:r w:rsidRPr="00B42F50">
              <w:rPr>
                <w:i/>
                <w:iCs/>
                <w:sz w:val="22"/>
                <w:szCs w:val="22"/>
              </w:rPr>
              <w:t xml:space="preserve"> </w:t>
            </w:r>
            <w:proofErr w:type="spellStart"/>
            <w:r w:rsidRPr="00B42F50">
              <w:rPr>
                <w:i/>
                <w:iCs/>
                <w:sz w:val="22"/>
                <w:szCs w:val="22"/>
              </w:rPr>
              <w:t>five</w:t>
            </w:r>
            <w:proofErr w:type="spellEnd"/>
            <w:r w:rsidRPr="00B42F50">
              <w:rPr>
                <w:i/>
                <w:iCs/>
                <w:sz w:val="22"/>
                <w:szCs w:val="22"/>
              </w:rPr>
              <w:t xml:space="preserve"> </w:t>
            </w:r>
            <w:proofErr w:type="spellStart"/>
            <w:r w:rsidRPr="00B42F50">
              <w:rPr>
                <w:i/>
                <w:iCs/>
                <w:sz w:val="22"/>
                <w:szCs w:val="22"/>
              </w:rPr>
              <w:t>years</w:t>
            </w:r>
            <w:proofErr w:type="spellEnd"/>
            <w:r w:rsidRPr="00B42F50">
              <w:rPr>
                <w:i/>
                <w:iCs/>
                <w:sz w:val="22"/>
                <w:szCs w:val="22"/>
              </w:rPr>
              <w:t xml:space="preserve"> on </w:t>
            </w:r>
            <w:proofErr w:type="spellStart"/>
            <w:r w:rsidRPr="00B42F50">
              <w:rPr>
                <w:i/>
                <w:iCs/>
                <w:sz w:val="22"/>
                <w:szCs w:val="22"/>
              </w:rPr>
              <w:t>average</w:t>
            </w:r>
            <w:proofErr w:type="spellEnd"/>
            <w:r w:rsidRPr="00B42F50">
              <w:rPr>
                <w:sz w:val="22"/>
                <w:szCs w:val="22"/>
              </w:rPr>
              <w:t xml:space="preserve">“. See täpsustav tingimus ei ole eelnõus selgelt kajastatud ning tuleks sõnastusse lisada, et vältida direktiivi põhjendamatult ranget ülevõtmist. Samuti soovitame seletuskirjas tuua illustratiivne näide (nt kaks investeeringut, millest üks kestab 3 aastat ja teine eeldatavalt 8 aastat, mille tulemusel portfelli keskmine hoidmisaeg ületab 5 aastat). </w:t>
            </w:r>
          </w:p>
        </w:tc>
        <w:tc>
          <w:tcPr>
            <w:tcW w:w="1182" w:type="dxa"/>
          </w:tcPr>
          <w:p w14:paraId="62B22B83" w14:textId="77777777" w:rsidR="009F421D" w:rsidRPr="00B42F50" w:rsidRDefault="009F421D" w:rsidP="00D31902">
            <w:pPr>
              <w:jc w:val="both"/>
              <w:rPr>
                <w:sz w:val="22"/>
                <w:szCs w:val="22"/>
              </w:rPr>
            </w:pPr>
          </w:p>
        </w:tc>
        <w:tc>
          <w:tcPr>
            <w:tcW w:w="3198" w:type="dxa"/>
          </w:tcPr>
          <w:p w14:paraId="683C3A59" w14:textId="6B4E55DB" w:rsidR="0036020E" w:rsidRPr="00B42F50" w:rsidRDefault="008B128C" w:rsidP="00D31902">
            <w:pPr>
              <w:jc w:val="both"/>
              <w:rPr>
                <w:i/>
                <w:iCs/>
                <w:sz w:val="22"/>
                <w:szCs w:val="22"/>
              </w:rPr>
            </w:pPr>
            <w:r w:rsidRPr="00B42F50">
              <w:rPr>
                <w:sz w:val="22"/>
                <w:szCs w:val="22"/>
              </w:rPr>
              <w:t xml:space="preserve">Eelnõu sõnastuse kohaselt </w:t>
            </w:r>
            <w:r w:rsidR="005C4340" w:rsidRPr="00B42F50">
              <w:rPr>
                <w:sz w:val="22"/>
                <w:szCs w:val="22"/>
              </w:rPr>
              <w:t>peab kindlustusandja hoidma pikaajalisi aktsiainvesteeringuid keskmisest kauem kui viis aasta. Kuigi meie hinnangul see vastab direktiivi</w:t>
            </w:r>
            <w:r w:rsidR="00E159FF" w:rsidRPr="00B42F50">
              <w:rPr>
                <w:sz w:val="22"/>
                <w:szCs w:val="22"/>
              </w:rPr>
              <w:t xml:space="preserve">le, </w:t>
            </w:r>
            <w:r w:rsidR="00FB6073" w:rsidRPr="00B42F50">
              <w:rPr>
                <w:sz w:val="22"/>
                <w:szCs w:val="22"/>
              </w:rPr>
              <w:t xml:space="preserve">oleme </w:t>
            </w:r>
            <w:r w:rsidR="00E159FF" w:rsidRPr="00B42F50">
              <w:rPr>
                <w:sz w:val="22"/>
                <w:szCs w:val="22"/>
              </w:rPr>
              <w:t>täpsusta</w:t>
            </w:r>
            <w:r w:rsidR="00FB6073" w:rsidRPr="00B42F50">
              <w:rPr>
                <w:sz w:val="22"/>
                <w:szCs w:val="22"/>
              </w:rPr>
              <w:t>nud</w:t>
            </w:r>
            <w:r w:rsidR="00E159FF" w:rsidRPr="00B42F50">
              <w:rPr>
                <w:sz w:val="22"/>
                <w:szCs w:val="22"/>
              </w:rPr>
              <w:t xml:space="preserve"> </w:t>
            </w:r>
            <w:r w:rsidR="00FB6073" w:rsidRPr="00B42F50">
              <w:rPr>
                <w:sz w:val="22"/>
                <w:szCs w:val="22"/>
              </w:rPr>
              <w:t xml:space="preserve">lõike 3 sõnastust </w:t>
            </w:r>
            <w:r w:rsidR="004D32C8" w:rsidRPr="00B42F50">
              <w:rPr>
                <w:sz w:val="22"/>
                <w:szCs w:val="22"/>
              </w:rPr>
              <w:t>ja sätestanud, et peab hoidma pikaajaliste aktsiainvesteeringute alamrühmas aktsiapositsioone keskmiselt üle viie aasta.</w:t>
            </w:r>
          </w:p>
        </w:tc>
      </w:tr>
      <w:tr w:rsidR="009F421D" w:rsidRPr="00B42F50" w14:paraId="3F659291" w14:textId="77777777" w:rsidTr="009A6EF6">
        <w:tc>
          <w:tcPr>
            <w:tcW w:w="767" w:type="dxa"/>
          </w:tcPr>
          <w:p w14:paraId="6BC6B8A9" w14:textId="77777777" w:rsidR="009F421D" w:rsidRPr="00B42F50" w:rsidRDefault="009F421D" w:rsidP="00D31902">
            <w:pPr>
              <w:jc w:val="both"/>
              <w:rPr>
                <w:b/>
                <w:sz w:val="22"/>
                <w:szCs w:val="22"/>
              </w:rPr>
            </w:pPr>
          </w:p>
        </w:tc>
        <w:tc>
          <w:tcPr>
            <w:tcW w:w="5514" w:type="dxa"/>
          </w:tcPr>
          <w:p w14:paraId="41A72621" w14:textId="3E3B7209" w:rsidR="009F421D" w:rsidRPr="00A812EA" w:rsidRDefault="007C0562" w:rsidP="00D31902">
            <w:pPr>
              <w:numPr>
                <w:ilvl w:val="1"/>
                <w:numId w:val="10"/>
              </w:numPr>
              <w:jc w:val="both"/>
              <w:rPr>
                <w:sz w:val="22"/>
                <w:szCs w:val="22"/>
              </w:rPr>
            </w:pPr>
            <w:r w:rsidRPr="00A812EA">
              <w:rPr>
                <w:sz w:val="22"/>
                <w:szCs w:val="22"/>
              </w:rPr>
              <w:t>2.4. KindlTS § 97</w:t>
            </w:r>
            <w:r w:rsidRPr="00A812EA">
              <w:rPr>
                <w:sz w:val="22"/>
                <w:szCs w:val="22"/>
                <w:vertAlign w:val="superscript"/>
              </w:rPr>
              <w:t>2</w:t>
            </w:r>
            <w:r w:rsidRPr="00A812EA">
              <w:rPr>
                <w:sz w:val="22"/>
                <w:szCs w:val="22"/>
              </w:rPr>
              <w:t xml:space="preserve"> </w:t>
            </w:r>
          </w:p>
        </w:tc>
        <w:tc>
          <w:tcPr>
            <w:tcW w:w="1182" w:type="dxa"/>
          </w:tcPr>
          <w:p w14:paraId="446E87D8" w14:textId="77777777" w:rsidR="009F421D" w:rsidRPr="00B42F50" w:rsidRDefault="009F421D" w:rsidP="00D31902">
            <w:pPr>
              <w:jc w:val="both"/>
              <w:rPr>
                <w:sz w:val="22"/>
                <w:szCs w:val="22"/>
              </w:rPr>
            </w:pPr>
          </w:p>
        </w:tc>
        <w:tc>
          <w:tcPr>
            <w:tcW w:w="3198" w:type="dxa"/>
          </w:tcPr>
          <w:p w14:paraId="5F5E4AB9" w14:textId="77777777" w:rsidR="009F421D" w:rsidRPr="00B42F50" w:rsidRDefault="009F421D" w:rsidP="00D31902">
            <w:pPr>
              <w:jc w:val="both"/>
              <w:rPr>
                <w:sz w:val="22"/>
                <w:szCs w:val="22"/>
              </w:rPr>
            </w:pPr>
          </w:p>
        </w:tc>
      </w:tr>
      <w:tr w:rsidR="009F421D" w:rsidRPr="00B42F50" w14:paraId="39DF7086" w14:textId="77777777" w:rsidTr="009A6EF6">
        <w:tc>
          <w:tcPr>
            <w:tcW w:w="767" w:type="dxa"/>
          </w:tcPr>
          <w:p w14:paraId="3AF6C9BB" w14:textId="12698FBA" w:rsidR="00E51AA0" w:rsidRDefault="00790926" w:rsidP="00D31902">
            <w:pPr>
              <w:jc w:val="both"/>
              <w:rPr>
                <w:b/>
                <w:sz w:val="22"/>
                <w:szCs w:val="22"/>
              </w:rPr>
            </w:pPr>
            <w:r>
              <w:rPr>
                <w:b/>
                <w:sz w:val="22"/>
                <w:szCs w:val="22"/>
              </w:rPr>
              <w:t>2</w:t>
            </w:r>
            <w:r w:rsidR="00E51AA0">
              <w:rPr>
                <w:b/>
                <w:sz w:val="22"/>
                <w:szCs w:val="22"/>
              </w:rPr>
              <w:t>7.</w:t>
            </w:r>
          </w:p>
          <w:p w14:paraId="4E038032" w14:textId="4D7C773A" w:rsidR="009F421D" w:rsidRPr="00B42F50" w:rsidRDefault="008C0679" w:rsidP="00D31902">
            <w:pPr>
              <w:jc w:val="both"/>
              <w:rPr>
                <w:bCs/>
                <w:sz w:val="22"/>
                <w:szCs w:val="22"/>
              </w:rPr>
            </w:pPr>
            <w:r w:rsidRPr="00B42F50">
              <w:rPr>
                <w:b/>
                <w:sz w:val="22"/>
                <w:szCs w:val="22"/>
              </w:rPr>
              <w:t>EKsL</w:t>
            </w:r>
          </w:p>
        </w:tc>
        <w:tc>
          <w:tcPr>
            <w:tcW w:w="5514" w:type="dxa"/>
          </w:tcPr>
          <w:p w14:paraId="7759CE09" w14:textId="603BD63F" w:rsidR="009F421D" w:rsidRPr="00A812EA" w:rsidRDefault="004C552E" w:rsidP="00D31902">
            <w:pPr>
              <w:jc w:val="both"/>
              <w:rPr>
                <w:sz w:val="22"/>
                <w:szCs w:val="22"/>
              </w:rPr>
            </w:pPr>
            <w:r w:rsidRPr="00A812EA">
              <w:rPr>
                <w:sz w:val="22"/>
                <w:szCs w:val="22"/>
              </w:rPr>
              <w:t xml:space="preserve">2.4.1. Teeme ettepaneku koondada paragrahvi 97² lõiked 2–4, kuna need käsitlevad sisuliselt sama teemat. </w:t>
            </w:r>
          </w:p>
        </w:tc>
        <w:tc>
          <w:tcPr>
            <w:tcW w:w="1182" w:type="dxa"/>
          </w:tcPr>
          <w:p w14:paraId="4B42213C" w14:textId="13A37637" w:rsidR="009F421D" w:rsidRPr="00B42F50" w:rsidRDefault="00837E22" w:rsidP="00D31902">
            <w:pPr>
              <w:jc w:val="center"/>
              <w:rPr>
                <w:sz w:val="22"/>
                <w:szCs w:val="22"/>
              </w:rPr>
            </w:pPr>
            <w:r w:rsidRPr="00B42F50">
              <w:rPr>
                <w:sz w:val="22"/>
                <w:szCs w:val="22"/>
              </w:rPr>
              <w:t>Mitte arvestatud</w:t>
            </w:r>
          </w:p>
        </w:tc>
        <w:tc>
          <w:tcPr>
            <w:tcW w:w="3198" w:type="dxa"/>
          </w:tcPr>
          <w:p w14:paraId="4301DF47" w14:textId="39C7FD08" w:rsidR="009F421D" w:rsidRPr="00B42F50" w:rsidRDefault="00886A25" w:rsidP="00D31902">
            <w:pPr>
              <w:jc w:val="both"/>
              <w:rPr>
                <w:sz w:val="22"/>
                <w:szCs w:val="22"/>
              </w:rPr>
            </w:pPr>
            <w:r w:rsidRPr="00B42F50">
              <w:rPr>
                <w:sz w:val="22"/>
                <w:szCs w:val="22"/>
              </w:rPr>
              <w:t>Lõige 2 reguleerib likviidsus</w:t>
            </w:r>
            <w:r w:rsidR="001E5948" w:rsidRPr="00B42F50">
              <w:rPr>
                <w:sz w:val="22"/>
                <w:szCs w:val="22"/>
              </w:rPr>
              <w:t xml:space="preserve">riski </w:t>
            </w:r>
            <w:r w:rsidRPr="00B42F50">
              <w:rPr>
                <w:sz w:val="22"/>
                <w:szCs w:val="22"/>
              </w:rPr>
              <w:t xml:space="preserve">plaani koostamist. Lõige 3 reguleerib </w:t>
            </w:r>
            <w:r w:rsidR="00711A4A" w:rsidRPr="00B42F50">
              <w:rPr>
                <w:sz w:val="22"/>
                <w:szCs w:val="22"/>
              </w:rPr>
              <w:t xml:space="preserve">võimalust nõuda kindlustusandjalt </w:t>
            </w:r>
            <w:r w:rsidR="00FF5575" w:rsidRPr="00B42F50">
              <w:rPr>
                <w:sz w:val="22"/>
                <w:szCs w:val="22"/>
              </w:rPr>
              <w:t xml:space="preserve">likviidsusanalüüsi </w:t>
            </w:r>
            <w:r w:rsidR="00711A4A" w:rsidRPr="00B42F50">
              <w:rPr>
                <w:sz w:val="22"/>
                <w:szCs w:val="22"/>
              </w:rPr>
              <w:t>keskmise pikkusega ja pika</w:t>
            </w:r>
            <w:r w:rsidR="00FF5575" w:rsidRPr="00B42F50">
              <w:rPr>
                <w:sz w:val="22"/>
                <w:szCs w:val="22"/>
              </w:rPr>
              <w:t>ajalises vaates</w:t>
            </w:r>
            <w:r w:rsidR="00711A4A" w:rsidRPr="00B42F50">
              <w:rPr>
                <w:sz w:val="22"/>
                <w:szCs w:val="22"/>
              </w:rPr>
              <w:t>.</w:t>
            </w:r>
            <w:r w:rsidR="00FF5575" w:rsidRPr="00B42F50">
              <w:rPr>
                <w:sz w:val="22"/>
                <w:szCs w:val="22"/>
              </w:rPr>
              <w:t xml:space="preserve"> Lõige 4 reguleerib </w:t>
            </w:r>
            <w:r w:rsidR="00265087" w:rsidRPr="00B42F50">
              <w:rPr>
                <w:sz w:val="22"/>
                <w:szCs w:val="22"/>
              </w:rPr>
              <w:t xml:space="preserve">likviidsusriski näitajate väljatöötamist. Meie hinnangul ei ole normitehniliselt </w:t>
            </w:r>
            <w:r w:rsidR="00E510A8" w:rsidRPr="00B42F50">
              <w:rPr>
                <w:sz w:val="22"/>
                <w:szCs w:val="22"/>
              </w:rPr>
              <w:t xml:space="preserve">asjakohane koondada vastavad lõiked üheks pikaks lõikeks. </w:t>
            </w:r>
          </w:p>
        </w:tc>
      </w:tr>
      <w:tr w:rsidR="008601D6" w:rsidRPr="00B42F50" w14:paraId="60CE2757" w14:textId="77777777" w:rsidTr="009A6EF6">
        <w:tc>
          <w:tcPr>
            <w:tcW w:w="767" w:type="dxa"/>
          </w:tcPr>
          <w:p w14:paraId="23A9C339" w14:textId="5FC94BB7" w:rsidR="00E51AA0" w:rsidRDefault="00790926" w:rsidP="00D31902">
            <w:pPr>
              <w:jc w:val="both"/>
              <w:rPr>
                <w:b/>
                <w:sz w:val="22"/>
                <w:szCs w:val="22"/>
              </w:rPr>
            </w:pPr>
            <w:r>
              <w:rPr>
                <w:b/>
                <w:sz w:val="22"/>
                <w:szCs w:val="22"/>
              </w:rPr>
              <w:t>2</w:t>
            </w:r>
            <w:r w:rsidR="00E51AA0">
              <w:rPr>
                <w:b/>
                <w:sz w:val="22"/>
                <w:szCs w:val="22"/>
              </w:rPr>
              <w:t>8.</w:t>
            </w:r>
          </w:p>
          <w:p w14:paraId="252DA079" w14:textId="02737DB2" w:rsidR="008601D6" w:rsidRPr="00B42F50" w:rsidRDefault="008C0679" w:rsidP="00D31902">
            <w:pPr>
              <w:jc w:val="both"/>
              <w:rPr>
                <w:b/>
                <w:sz w:val="22"/>
                <w:szCs w:val="22"/>
              </w:rPr>
            </w:pPr>
            <w:r w:rsidRPr="00B42F50">
              <w:rPr>
                <w:b/>
                <w:sz w:val="22"/>
                <w:szCs w:val="22"/>
              </w:rPr>
              <w:t>EKsL</w:t>
            </w:r>
          </w:p>
        </w:tc>
        <w:tc>
          <w:tcPr>
            <w:tcW w:w="5514" w:type="dxa"/>
          </w:tcPr>
          <w:p w14:paraId="62720A56" w14:textId="35E3A1C7" w:rsidR="008601D6" w:rsidRPr="00A812EA" w:rsidRDefault="00AF4B8F" w:rsidP="00D31902">
            <w:pPr>
              <w:jc w:val="both"/>
              <w:rPr>
                <w:sz w:val="22"/>
                <w:szCs w:val="22"/>
              </w:rPr>
            </w:pPr>
            <w:r w:rsidRPr="00A812EA">
              <w:rPr>
                <w:sz w:val="22"/>
                <w:szCs w:val="22"/>
              </w:rPr>
              <w:t xml:space="preserve">2.4.2. KindlTS § 97² lõige 6 toob kasutusse uue termini „likviidsusvajadus“. Lõiked 1 ja 2 kirjeldavad juba nõudeid, mis sisuliselt katavad likviidsuse tagamise kohustuse. Palume kaaluda, kas uue termini kasutuselevõtt on vajalik või tekitab see põhjendamatut terminoloogilist killustatust. </w:t>
            </w:r>
          </w:p>
        </w:tc>
        <w:tc>
          <w:tcPr>
            <w:tcW w:w="1182" w:type="dxa"/>
          </w:tcPr>
          <w:p w14:paraId="4C0370EA" w14:textId="6A0EFF12" w:rsidR="008601D6" w:rsidRPr="00B42F50" w:rsidRDefault="00040FCB" w:rsidP="00D31902">
            <w:pPr>
              <w:jc w:val="both"/>
              <w:rPr>
                <w:sz w:val="22"/>
                <w:szCs w:val="22"/>
              </w:rPr>
            </w:pPr>
            <w:r w:rsidRPr="00B42F50">
              <w:rPr>
                <w:sz w:val="22"/>
                <w:szCs w:val="22"/>
              </w:rPr>
              <w:t>Selgitatud</w:t>
            </w:r>
          </w:p>
        </w:tc>
        <w:tc>
          <w:tcPr>
            <w:tcW w:w="3198" w:type="dxa"/>
          </w:tcPr>
          <w:p w14:paraId="3B0F9B86" w14:textId="7795B682" w:rsidR="00633721" w:rsidRPr="00B42F50" w:rsidRDefault="00D60E4B" w:rsidP="00D31902">
            <w:pPr>
              <w:jc w:val="both"/>
              <w:rPr>
                <w:sz w:val="22"/>
                <w:szCs w:val="22"/>
              </w:rPr>
            </w:pPr>
            <w:r w:rsidRPr="00B42F50">
              <w:rPr>
                <w:sz w:val="22"/>
                <w:szCs w:val="22"/>
              </w:rPr>
              <w:t xml:space="preserve">Juhime tähelepanu, et </w:t>
            </w:r>
            <w:r w:rsidR="00177707" w:rsidRPr="00B42F50">
              <w:rPr>
                <w:sz w:val="22"/>
                <w:szCs w:val="22"/>
              </w:rPr>
              <w:t xml:space="preserve">kui vaadata </w:t>
            </w:r>
            <w:r w:rsidR="002534EF" w:rsidRPr="00B42F50">
              <w:rPr>
                <w:sz w:val="22"/>
                <w:szCs w:val="22"/>
              </w:rPr>
              <w:t xml:space="preserve">seletuskirjas viidatud </w:t>
            </w:r>
            <w:r w:rsidR="00177707" w:rsidRPr="00B42F50">
              <w:rPr>
                <w:sz w:val="22"/>
                <w:szCs w:val="22"/>
              </w:rPr>
              <w:t xml:space="preserve">EIOPA raportit likviidsusplaani </w:t>
            </w:r>
            <w:r w:rsidR="00314C71" w:rsidRPr="00B42F50">
              <w:rPr>
                <w:sz w:val="22"/>
                <w:szCs w:val="22"/>
              </w:rPr>
              <w:t>RTS kohta</w:t>
            </w:r>
            <w:r w:rsidR="00936414" w:rsidRPr="00B42F50">
              <w:rPr>
                <w:sz w:val="22"/>
                <w:szCs w:val="22"/>
              </w:rPr>
              <w:t xml:space="preserve"> </w:t>
            </w:r>
            <w:r w:rsidR="00314C71" w:rsidRPr="00B42F50">
              <w:rPr>
                <w:sz w:val="22"/>
                <w:szCs w:val="22"/>
              </w:rPr>
              <w:t>(</w:t>
            </w:r>
            <w:r w:rsidR="00936414" w:rsidRPr="00B42F50">
              <w:rPr>
                <w:sz w:val="22"/>
                <w:szCs w:val="22"/>
              </w:rPr>
              <w:t>„</w:t>
            </w:r>
            <w:proofErr w:type="spellStart"/>
            <w:r w:rsidR="00936414">
              <w:fldChar w:fldCharType="begin"/>
            </w:r>
            <w:r w:rsidR="00936414">
              <w:instrText>HYPERLINK "https://www.eiopa.europa.eu/document/download/2970329c-6575-45f1-bcb4-c2c4cd0bf029_en?filename=EIOPA-BoS-25-386_Final%20report%20on%20RTS%20on%20Liquidity%20Risk%20Management%20Plans.pdf"</w:instrText>
            </w:r>
            <w:r w:rsidR="00936414">
              <w:fldChar w:fldCharType="separate"/>
            </w:r>
            <w:r w:rsidR="00936414" w:rsidRPr="00B42F50">
              <w:rPr>
                <w:rStyle w:val="Hperlink"/>
                <w:sz w:val="22"/>
                <w:szCs w:val="22"/>
              </w:rPr>
              <w:t>Final</w:t>
            </w:r>
            <w:proofErr w:type="spellEnd"/>
            <w:r w:rsidR="00936414" w:rsidRPr="00B42F50">
              <w:rPr>
                <w:rStyle w:val="Hperlink"/>
                <w:sz w:val="22"/>
                <w:szCs w:val="22"/>
              </w:rPr>
              <w:t xml:space="preserve"> </w:t>
            </w:r>
            <w:proofErr w:type="spellStart"/>
            <w:r w:rsidR="00936414" w:rsidRPr="00B42F50">
              <w:rPr>
                <w:rStyle w:val="Hperlink"/>
                <w:sz w:val="22"/>
                <w:szCs w:val="22"/>
              </w:rPr>
              <w:t>report</w:t>
            </w:r>
            <w:proofErr w:type="spellEnd"/>
            <w:r w:rsidR="00936414" w:rsidRPr="00B42F50">
              <w:rPr>
                <w:rStyle w:val="Hperlink"/>
                <w:sz w:val="22"/>
                <w:szCs w:val="22"/>
              </w:rPr>
              <w:t xml:space="preserve"> on </w:t>
            </w:r>
            <w:proofErr w:type="spellStart"/>
            <w:r w:rsidR="00936414" w:rsidRPr="00B42F50">
              <w:rPr>
                <w:rStyle w:val="Hperlink"/>
                <w:sz w:val="22"/>
                <w:szCs w:val="22"/>
              </w:rPr>
              <w:t>draft</w:t>
            </w:r>
            <w:proofErr w:type="spellEnd"/>
            <w:r w:rsidR="00936414" w:rsidRPr="00B42F50">
              <w:rPr>
                <w:rStyle w:val="Hperlink"/>
                <w:sz w:val="22"/>
                <w:szCs w:val="22"/>
              </w:rPr>
              <w:t xml:space="preserve"> RTS on </w:t>
            </w:r>
            <w:proofErr w:type="spellStart"/>
            <w:r w:rsidR="00936414" w:rsidRPr="00B42F50">
              <w:rPr>
                <w:rStyle w:val="Hperlink"/>
                <w:sz w:val="22"/>
                <w:szCs w:val="22"/>
              </w:rPr>
              <w:t>liquidity</w:t>
            </w:r>
            <w:proofErr w:type="spellEnd"/>
            <w:r w:rsidR="00936414" w:rsidRPr="00B42F50">
              <w:rPr>
                <w:rStyle w:val="Hperlink"/>
                <w:sz w:val="22"/>
                <w:szCs w:val="22"/>
              </w:rPr>
              <w:t xml:space="preserve"> risk </w:t>
            </w:r>
            <w:proofErr w:type="spellStart"/>
            <w:r w:rsidR="00936414" w:rsidRPr="00B42F50">
              <w:rPr>
                <w:rStyle w:val="Hperlink"/>
                <w:sz w:val="22"/>
                <w:szCs w:val="22"/>
              </w:rPr>
              <w:t>management</w:t>
            </w:r>
            <w:proofErr w:type="spellEnd"/>
            <w:r w:rsidR="00936414" w:rsidRPr="00B42F50">
              <w:rPr>
                <w:rStyle w:val="Hperlink"/>
                <w:sz w:val="22"/>
                <w:szCs w:val="22"/>
              </w:rPr>
              <w:t xml:space="preserve"> </w:t>
            </w:r>
            <w:proofErr w:type="spellStart"/>
            <w:r w:rsidR="00936414" w:rsidRPr="00B42F50">
              <w:rPr>
                <w:rStyle w:val="Hperlink"/>
                <w:sz w:val="22"/>
                <w:szCs w:val="22"/>
              </w:rPr>
              <w:t>plans</w:t>
            </w:r>
            <w:proofErr w:type="spellEnd"/>
            <w:r w:rsidR="00936414">
              <w:fldChar w:fldCharType="end"/>
            </w:r>
            <w:r w:rsidR="00936414" w:rsidRPr="00B42F50">
              <w:rPr>
                <w:sz w:val="22"/>
                <w:szCs w:val="22"/>
              </w:rPr>
              <w:t>“</w:t>
            </w:r>
            <w:r w:rsidR="00314C71" w:rsidRPr="00B42F50">
              <w:rPr>
                <w:sz w:val="22"/>
                <w:szCs w:val="22"/>
              </w:rPr>
              <w:t xml:space="preserve"> (ehk </w:t>
            </w:r>
            <w:r w:rsidR="004D48E5" w:rsidRPr="00B42F50">
              <w:rPr>
                <w:sz w:val="22"/>
                <w:szCs w:val="22"/>
              </w:rPr>
              <w:t xml:space="preserve">mille põhjal kehtestatakse rakendusmäärus), </w:t>
            </w:r>
            <w:r w:rsidR="00ED4FF4" w:rsidRPr="00B42F50">
              <w:rPr>
                <w:sz w:val="22"/>
                <w:szCs w:val="22"/>
              </w:rPr>
              <w:t>siis selles</w:t>
            </w:r>
            <w:r w:rsidR="004D48E5" w:rsidRPr="00B42F50">
              <w:rPr>
                <w:sz w:val="22"/>
                <w:szCs w:val="22"/>
              </w:rPr>
              <w:t xml:space="preserve"> on korduvalt kasut</w:t>
            </w:r>
            <w:r w:rsidR="0053009B" w:rsidRPr="00B42F50">
              <w:rPr>
                <w:sz w:val="22"/>
                <w:szCs w:val="22"/>
              </w:rPr>
              <w:t>at</w:t>
            </w:r>
            <w:r w:rsidR="004D48E5" w:rsidRPr="00B42F50">
              <w:rPr>
                <w:sz w:val="22"/>
                <w:szCs w:val="22"/>
              </w:rPr>
              <w:t>u</w:t>
            </w:r>
            <w:r w:rsidR="002534EF" w:rsidRPr="00B42F50">
              <w:rPr>
                <w:sz w:val="22"/>
                <w:szCs w:val="22"/>
              </w:rPr>
              <w:t xml:space="preserve">d </w:t>
            </w:r>
            <w:r w:rsidR="004D48E5" w:rsidRPr="00B42F50">
              <w:rPr>
                <w:sz w:val="22"/>
                <w:szCs w:val="22"/>
              </w:rPr>
              <w:t>termin</w:t>
            </w:r>
            <w:r w:rsidR="002534EF" w:rsidRPr="00B42F50">
              <w:rPr>
                <w:sz w:val="22"/>
                <w:szCs w:val="22"/>
              </w:rPr>
              <w:t>it</w:t>
            </w:r>
            <w:r w:rsidR="00936414" w:rsidRPr="00B42F50">
              <w:rPr>
                <w:sz w:val="22"/>
                <w:szCs w:val="22"/>
              </w:rPr>
              <w:t xml:space="preserve"> </w:t>
            </w:r>
            <w:r w:rsidRPr="00B42F50">
              <w:rPr>
                <w:sz w:val="22"/>
                <w:szCs w:val="22"/>
              </w:rPr>
              <w:t>„</w:t>
            </w:r>
            <w:proofErr w:type="spellStart"/>
            <w:r w:rsidRPr="00B42F50">
              <w:rPr>
                <w:i/>
                <w:iCs/>
                <w:sz w:val="22"/>
                <w:szCs w:val="22"/>
              </w:rPr>
              <w:t>liquidity</w:t>
            </w:r>
            <w:proofErr w:type="spellEnd"/>
            <w:r w:rsidRPr="00B42F50">
              <w:rPr>
                <w:i/>
                <w:iCs/>
                <w:sz w:val="22"/>
                <w:szCs w:val="22"/>
              </w:rPr>
              <w:t xml:space="preserve"> </w:t>
            </w:r>
            <w:proofErr w:type="spellStart"/>
            <w:r w:rsidRPr="00B42F50">
              <w:rPr>
                <w:i/>
                <w:iCs/>
                <w:sz w:val="22"/>
                <w:szCs w:val="22"/>
              </w:rPr>
              <w:t>needs</w:t>
            </w:r>
            <w:proofErr w:type="spellEnd"/>
            <w:r w:rsidRPr="00B42F50">
              <w:rPr>
                <w:sz w:val="22"/>
                <w:szCs w:val="22"/>
              </w:rPr>
              <w:t>“</w:t>
            </w:r>
            <w:r w:rsidR="00040FCB" w:rsidRPr="00B42F50">
              <w:rPr>
                <w:sz w:val="22"/>
                <w:szCs w:val="22"/>
              </w:rPr>
              <w:t xml:space="preserve">, mistõttu </w:t>
            </w:r>
            <w:r w:rsidR="006219DE" w:rsidRPr="00B42F50">
              <w:rPr>
                <w:sz w:val="22"/>
                <w:szCs w:val="22"/>
              </w:rPr>
              <w:t>me</w:t>
            </w:r>
            <w:r w:rsidR="00AB31EA" w:rsidRPr="00B42F50">
              <w:rPr>
                <w:sz w:val="22"/>
                <w:szCs w:val="22"/>
              </w:rPr>
              <w:t xml:space="preserve"> ei leia, et </w:t>
            </w:r>
            <w:r w:rsidR="00001A9D" w:rsidRPr="00B42F50">
              <w:rPr>
                <w:sz w:val="22"/>
                <w:szCs w:val="22"/>
              </w:rPr>
              <w:t>tekiks põhjendamatu terminoloogiline killustatus.</w:t>
            </w:r>
          </w:p>
        </w:tc>
      </w:tr>
      <w:tr w:rsidR="008601D6" w:rsidRPr="00B42F50" w14:paraId="0EE93F4A" w14:textId="77777777" w:rsidTr="009A6EF6">
        <w:tc>
          <w:tcPr>
            <w:tcW w:w="767" w:type="dxa"/>
          </w:tcPr>
          <w:p w14:paraId="4869969D" w14:textId="77777777" w:rsidR="008601D6" w:rsidRPr="00B42F50" w:rsidRDefault="008601D6" w:rsidP="00D31902">
            <w:pPr>
              <w:jc w:val="both"/>
              <w:rPr>
                <w:b/>
                <w:sz w:val="22"/>
                <w:szCs w:val="22"/>
              </w:rPr>
            </w:pPr>
          </w:p>
        </w:tc>
        <w:tc>
          <w:tcPr>
            <w:tcW w:w="5514" w:type="dxa"/>
          </w:tcPr>
          <w:p w14:paraId="15C3DC68" w14:textId="5D53BD84" w:rsidR="008601D6" w:rsidRPr="00A812EA" w:rsidRDefault="00574179" w:rsidP="00D31902">
            <w:pPr>
              <w:numPr>
                <w:ilvl w:val="1"/>
                <w:numId w:val="11"/>
              </w:numPr>
              <w:jc w:val="both"/>
              <w:rPr>
                <w:sz w:val="22"/>
                <w:szCs w:val="22"/>
              </w:rPr>
            </w:pPr>
            <w:r w:rsidRPr="00A812EA">
              <w:rPr>
                <w:sz w:val="22"/>
                <w:szCs w:val="22"/>
              </w:rPr>
              <w:t xml:space="preserve">2.5. </w:t>
            </w:r>
            <w:r w:rsidR="00E06347" w:rsidRPr="00A812EA">
              <w:rPr>
                <w:sz w:val="22"/>
                <w:szCs w:val="22"/>
              </w:rPr>
              <w:t xml:space="preserve">KindlTS § 100 </w:t>
            </w:r>
          </w:p>
        </w:tc>
        <w:tc>
          <w:tcPr>
            <w:tcW w:w="1182" w:type="dxa"/>
          </w:tcPr>
          <w:p w14:paraId="15EB2D51" w14:textId="77777777" w:rsidR="008601D6" w:rsidRPr="00B42F50" w:rsidRDefault="008601D6" w:rsidP="00D31902">
            <w:pPr>
              <w:jc w:val="both"/>
              <w:rPr>
                <w:sz w:val="22"/>
                <w:szCs w:val="22"/>
              </w:rPr>
            </w:pPr>
          </w:p>
        </w:tc>
        <w:tc>
          <w:tcPr>
            <w:tcW w:w="3198" w:type="dxa"/>
          </w:tcPr>
          <w:p w14:paraId="7A36445B" w14:textId="77777777" w:rsidR="008601D6" w:rsidRPr="00B42F50" w:rsidRDefault="008601D6" w:rsidP="00D31902">
            <w:pPr>
              <w:jc w:val="both"/>
              <w:rPr>
                <w:sz w:val="22"/>
                <w:szCs w:val="22"/>
              </w:rPr>
            </w:pPr>
          </w:p>
        </w:tc>
      </w:tr>
      <w:tr w:rsidR="00E06347" w:rsidRPr="00B42F50" w14:paraId="72C59552" w14:textId="77777777" w:rsidTr="009A6EF6">
        <w:tc>
          <w:tcPr>
            <w:tcW w:w="767" w:type="dxa"/>
          </w:tcPr>
          <w:p w14:paraId="08AF23FA" w14:textId="39D42919" w:rsidR="00E51AA0" w:rsidRDefault="00790926" w:rsidP="00D31902">
            <w:pPr>
              <w:jc w:val="both"/>
              <w:rPr>
                <w:b/>
                <w:sz w:val="22"/>
                <w:szCs w:val="22"/>
              </w:rPr>
            </w:pPr>
            <w:r>
              <w:rPr>
                <w:b/>
                <w:sz w:val="22"/>
                <w:szCs w:val="22"/>
              </w:rPr>
              <w:t>2</w:t>
            </w:r>
            <w:r w:rsidR="00E51AA0">
              <w:rPr>
                <w:b/>
                <w:sz w:val="22"/>
                <w:szCs w:val="22"/>
              </w:rPr>
              <w:t>9.</w:t>
            </w:r>
          </w:p>
          <w:p w14:paraId="743116C6" w14:textId="572D875F" w:rsidR="00E06347" w:rsidRPr="00B42F50" w:rsidRDefault="008C0679" w:rsidP="00D31902">
            <w:pPr>
              <w:jc w:val="both"/>
              <w:rPr>
                <w:b/>
                <w:sz w:val="22"/>
                <w:szCs w:val="22"/>
              </w:rPr>
            </w:pPr>
            <w:r w:rsidRPr="00B42F50">
              <w:rPr>
                <w:b/>
                <w:sz w:val="22"/>
                <w:szCs w:val="22"/>
              </w:rPr>
              <w:t>EKsL</w:t>
            </w:r>
          </w:p>
        </w:tc>
        <w:tc>
          <w:tcPr>
            <w:tcW w:w="5514" w:type="dxa"/>
          </w:tcPr>
          <w:p w14:paraId="1A43A0EB" w14:textId="36DEF875" w:rsidR="00E06347" w:rsidRPr="00A812EA" w:rsidRDefault="00574179" w:rsidP="00D31902">
            <w:pPr>
              <w:jc w:val="both"/>
              <w:rPr>
                <w:sz w:val="22"/>
                <w:szCs w:val="22"/>
              </w:rPr>
            </w:pPr>
            <w:r w:rsidRPr="00A812EA">
              <w:rPr>
                <w:sz w:val="22"/>
                <w:szCs w:val="22"/>
              </w:rPr>
              <w:t xml:space="preserve">2.5.1. Lg 1 p 7 on direktiivis sõnastatud järgmiselt: </w:t>
            </w:r>
            <w:r w:rsidRPr="00A812EA">
              <w:rPr>
                <w:i/>
                <w:iCs/>
                <w:sz w:val="22"/>
                <w:szCs w:val="22"/>
              </w:rPr>
              <w:t>“…</w:t>
            </w:r>
            <w:r w:rsidRPr="00A812EA">
              <w:rPr>
                <w:i/>
                <w:iCs/>
                <w:sz w:val="22"/>
                <w:szCs w:val="22"/>
                <w:lang w:val="en-GB"/>
              </w:rPr>
              <w:t>undertaking shall demonstrate the materiality of its exposure to climate change risks in the assessment</w:t>
            </w:r>
            <w:r w:rsidRPr="00A812EA">
              <w:rPr>
                <w:sz w:val="22"/>
                <w:szCs w:val="22"/>
              </w:rPr>
              <w:t>”. Teeme ettepaneku täpsustada eelnõu sõnastust kooskõlas direktiiviga, rõhutades otseselt „</w:t>
            </w:r>
            <w:proofErr w:type="spellStart"/>
            <w:r w:rsidRPr="00A812EA">
              <w:rPr>
                <w:i/>
                <w:iCs/>
                <w:sz w:val="22"/>
                <w:szCs w:val="22"/>
              </w:rPr>
              <w:t>materiality</w:t>
            </w:r>
            <w:proofErr w:type="spellEnd"/>
            <w:r w:rsidRPr="00A812EA">
              <w:rPr>
                <w:i/>
                <w:iCs/>
                <w:sz w:val="22"/>
                <w:szCs w:val="22"/>
              </w:rPr>
              <w:t xml:space="preserve"> of </w:t>
            </w:r>
            <w:proofErr w:type="spellStart"/>
            <w:r w:rsidRPr="00A812EA">
              <w:rPr>
                <w:i/>
                <w:iCs/>
                <w:sz w:val="22"/>
                <w:szCs w:val="22"/>
              </w:rPr>
              <w:t>its</w:t>
            </w:r>
            <w:proofErr w:type="spellEnd"/>
            <w:r w:rsidRPr="00A812EA">
              <w:rPr>
                <w:i/>
                <w:iCs/>
                <w:sz w:val="22"/>
                <w:szCs w:val="22"/>
              </w:rPr>
              <w:t xml:space="preserve"> </w:t>
            </w:r>
            <w:proofErr w:type="spellStart"/>
            <w:r w:rsidRPr="00A812EA">
              <w:rPr>
                <w:i/>
                <w:iCs/>
                <w:sz w:val="22"/>
                <w:szCs w:val="22"/>
              </w:rPr>
              <w:t>exposure</w:t>
            </w:r>
            <w:proofErr w:type="spellEnd"/>
            <w:r w:rsidRPr="00A812EA">
              <w:rPr>
                <w:sz w:val="22"/>
                <w:szCs w:val="22"/>
              </w:rPr>
              <w:t xml:space="preserve">“. Juhul kui kindlustusandja hinnangul selline materiaalne mõju puudub või seda ei ole võimalik tõendada, tuleks ka see selgelt välja tuua. Praegune eelnõu sõnastus on selles osas üldisem. </w:t>
            </w:r>
          </w:p>
        </w:tc>
        <w:tc>
          <w:tcPr>
            <w:tcW w:w="1182" w:type="dxa"/>
          </w:tcPr>
          <w:p w14:paraId="345BB170" w14:textId="77777777" w:rsidR="00E06347" w:rsidRPr="00B42F50" w:rsidRDefault="00617FC3" w:rsidP="00D31902">
            <w:pPr>
              <w:jc w:val="center"/>
              <w:rPr>
                <w:sz w:val="22"/>
                <w:szCs w:val="22"/>
              </w:rPr>
            </w:pPr>
            <w:r w:rsidRPr="00B42F50">
              <w:rPr>
                <w:sz w:val="22"/>
                <w:szCs w:val="22"/>
              </w:rPr>
              <w:t>Arvestatud</w:t>
            </w:r>
            <w:r w:rsidR="00B71044" w:rsidRPr="00B42F50">
              <w:rPr>
                <w:sz w:val="22"/>
                <w:szCs w:val="22"/>
              </w:rPr>
              <w:t>/</w:t>
            </w:r>
          </w:p>
          <w:p w14:paraId="2F811BEF" w14:textId="3DCB19B9" w:rsidR="00B71044" w:rsidRPr="00B42F50" w:rsidRDefault="00B71044" w:rsidP="00D31902">
            <w:pPr>
              <w:jc w:val="center"/>
              <w:rPr>
                <w:sz w:val="22"/>
                <w:szCs w:val="22"/>
              </w:rPr>
            </w:pPr>
            <w:r w:rsidRPr="00B42F50">
              <w:rPr>
                <w:sz w:val="22"/>
                <w:szCs w:val="22"/>
              </w:rPr>
              <w:t>Selgitatud</w:t>
            </w:r>
          </w:p>
        </w:tc>
        <w:tc>
          <w:tcPr>
            <w:tcW w:w="3198" w:type="dxa"/>
          </w:tcPr>
          <w:p w14:paraId="46B3CA86" w14:textId="391B5BF0" w:rsidR="00E06347" w:rsidRDefault="009F4F10" w:rsidP="00D31902">
            <w:pPr>
              <w:jc w:val="both"/>
              <w:rPr>
                <w:sz w:val="22"/>
                <w:szCs w:val="22"/>
              </w:rPr>
            </w:pPr>
            <w:r w:rsidRPr="00EF2A59">
              <w:rPr>
                <w:sz w:val="22"/>
                <w:szCs w:val="22"/>
              </w:rPr>
              <w:t>KindlTS § 100 lõike 1 punkti 7 on korrigeeritud, kui</w:t>
            </w:r>
            <w:r w:rsidR="00615005" w:rsidRPr="00EF2A59">
              <w:rPr>
                <w:sz w:val="22"/>
                <w:szCs w:val="22"/>
              </w:rPr>
              <w:t xml:space="preserve">d </w:t>
            </w:r>
            <w:r w:rsidR="009A409E" w:rsidRPr="00EF2A59">
              <w:rPr>
                <w:sz w:val="22"/>
                <w:szCs w:val="22"/>
              </w:rPr>
              <w:t xml:space="preserve">meie hinnangul on asjakohane kasutada </w:t>
            </w:r>
            <w:r w:rsidR="00EF2A59" w:rsidRPr="00EF2A59">
              <w:rPr>
                <w:sz w:val="22"/>
                <w:szCs w:val="22"/>
              </w:rPr>
              <w:t xml:space="preserve">termini </w:t>
            </w:r>
            <w:r w:rsidR="009A409E" w:rsidRPr="00EF2A59">
              <w:rPr>
                <w:sz w:val="22"/>
                <w:szCs w:val="22"/>
              </w:rPr>
              <w:t>„materiaa</w:t>
            </w:r>
            <w:r w:rsidR="00052D02" w:rsidRPr="00EF2A59">
              <w:rPr>
                <w:sz w:val="22"/>
                <w:szCs w:val="22"/>
              </w:rPr>
              <w:t>l</w:t>
            </w:r>
            <w:r w:rsidR="00EF2A59" w:rsidRPr="00EF2A59">
              <w:rPr>
                <w:sz w:val="22"/>
                <w:szCs w:val="22"/>
              </w:rPr>
              <w:t>n</w:t>
            </w:r>
            <w:r w:rsidR="00052D02" w:rsidRPr="00EF2A59">
              <w:rPr>
                <w:sz w:val="22"/>
                <w:szCs w:val="22"/>
              </w:rPr>
              <w:t>e</w:t>
            </w:r>
            <w:r w:rsidR="00052D02">
              <w:rPr>
                <w:sz w:val="22"/>
                <w:szCs w:val="22"/>
              </w:rPr>
              <w:t>“ asemel terminit „oluline“, nagu ka RPS defineerib § 16 punktis 4 olulis</w:t>
            </w:r>
            <w:r w:rsidR="00EF2A59">
              <w:rPr>
                <w:sz w:val="22"/>
                <w:szCs w:val="22"/>
              </w:rPr>
              <w:t>us</w:t>
            </w:r>
            <w:r w:rsidR="00052D02">
              <w:rPr>
                <w:sz w:val="22"/>
                <w:szCs w:val="22"/>
              </w:rPr>
              <w:t>e printsiibi.</w:t>
            </w:r>
          </w:p>
          <w:p w14:paraId="69A06D88" w14:textId="77777777" w:rsidR="00CC7DB9" w:rsidRDefault="00CC7DB9" w:rsidP="00D31902">
            <w:pPr>
              <w:jc w:val="both"/>
              <w:rPr>
                <w:sz w:val="22"/>
                <w:szCs w:val="22"/>
              </w:rPr>
            </w:pPr>
          </w:p>
          <w:p w14:paraId="07195B05" w14:textId="66E8561A" w:rsidR="00AA487D" w:rsidRPr="002E20E1" w:rsidRDefault="00515A68" w:rsidP="00A83885">
            <w:pPr>
              <w:jc w:val="both"/>
              <w:rPr>
                <w:i/>
                <w:iCs/>
                <w:sz w:val="22"/>
                <w:szCs w:val="22"/>
              </w:rPr>
            </w:pPr>
            <w:r>
              <w:rPr>
                <w:sz w:val="22"/>
                <w:szCs w:val="22"/>
              </w:rPr>
              <w:t xml:space="preserve">Kindlustusandjad on hinnanud kliimamuutustega seotud </w:t>
            </w:r>
            <w:r w:rsidR="009D06ED">
              <w:rPr>
                <w:sz w:val="22"/>
                <w:szCs w:val="22"/>
              </w:rPr>
              <w:t xml:space="preserve">riskide olulisust ka kehtivate ORSA </w:t>
            </w:r>
            <w:r w:rsidR="00151263">
              <w:rPr>
                <w:sz w:val="22"/>
                <w:szCs w:val="22"/>
              </w:rPr>
              <w:t xml:space="preserve">reeglite </w:t>
            </w:r>
            <w:r w:rsidR="004555A2">
              <w:rPr>
                <w:sz w:val="22"/>
                <w:szCs w:val="22"/>
              </w:rPr>
              <w:t>alusel</w:t>
            </w:r>
            <w:r w:rsidR="00151263">
              <w:rPr>
                <w:sz w:val="22"/>
                <w:szCs w:val="22"/>
              </w:rPr>
              <w:t xml:space="preserve"> ning </w:t>
            </w:r>
            <w:r w:rsidR="004A35B7">
              <w:rPr>
                <w:sz w:val="22"/>
                <w:szCs w:val="22"/>
              </w:rPr>
              <w:t xml:space="preserve">selle kohta on välja antud ka </w:t>
            </w:r>
            <w:hyperlink r:id="rId14" w:history="1">
              <w:r w:rsidR="004A35B7" w:rsidRPr="005A4030">
                <w:rPr>
                  <w:rStyle w:val="Hperlink"/>
                  <w:sz w:val="22"/>
                  <w:szCs w:val="22"/>
                </w:rPr>
                <w:t>EIOPA suunis</w:t>
              </w:r>
            </w:hyperlink>
            <w:r w:rsidR="004A35B7">
              <w:rPr>
                <w:sz w:val="22"/>
                <w:szCs w:val="22"/>
              </w:rPr>
              <w:t>.</w:t>
            </w:r>
            <w:r w:rsidR="002E20E1">
              <w:rPr>
                <w:sz w:val="22"/>
                <w:szCs w:val="22"/>
              </w:rPr>
              <w:t xml:space="preserve"> </w:t>
            </w:r>
            <w:r w:rsidR="002E20E1" w:rsidRPr="00B17775">
              <w:rPr>
                <w:i/>
                <w:iCs/>
                <w:sz w:val="22"/>
                <w:szCs w:val="22"/>
                <w:lang w:val="en-GB"/>
              </w:rPr>
              <w:t xml:space="preserve">„Risks </w:t>
            </w:r>
            <w:proofErr w:type="gramStart"/>
            <w:r w:rsidR="002E20E1" w:rsidRPr="00B17775">
              <w:rPr>
                <w:i/>
                <w:iCs/>
                <w:sz w:val="22"/>
                <w:szCs w:val="22"/>
                <w:lang w:val="en-GB"/>
              </w:rPr>
              <w:t>are considered to be</w:t>
            </w:r>
            <w:proofErr w:type="gramEnd"/>
            <w:r w:rsidR="002E20E1" w:rsidRPr="00B17775">
              <w:rPr>
                <w:i/>
                <w:iCs/>
                <w:sz w:val="22"/>
                <w:szCs w:val="22"/>
                <w:lang w:val="en-GB"/>
              </w:rPr>
              <w:t xml:space="preserve"> material in the context of Solvency II where ignoring the risk could influence the decision-making or the judgement of the users of the information, which in</w:t>
            </w:r>
            <w:r w:rsidR="002E20E1" w:rsidRPr="002E20E1">
              <w:rPr>
                <w:i/>
                <w:iCs/>
                <w:sz w:val="22"/>
                <w:szCs w:val="22"/>
              </w:rPr>
              <w:t xml:space="preserve"> </w:t>
            </w:r>
            <w:r w:rsidR="002E20E1" w:rsidRPr="00B17775">
              <w:rPr>
                <w:i/>
                <w:iCs/>
                <w:sz w:val="22"/>
                <w:szCs w:val="22"/>
                <w:lang w:val="en-GB"/>
              </w:rPr>
              <w:lastRenderedPageBreak/>
              <w:t>case of the ORSA would be the undertaking’s administrative, management or supervisory body and its relevant staff1. CAs should expect undertakings to identify the materiality of exposures to climate change risks through a combination of qualitative and quantitative analyses</w:t>
            </w:r>
            <w:proofErr w:type="gramStart"/>
            <w:r w:rsidR="002E20E1" w:rsidRPr="00B17775">
              <w:rPr>
                <w:i/>
                <w:iCs/>
                <w:sz w:val="22"/>
                <w:szCs w:val="22"/>
                <w:lang w:val="en-GB"/>
              </w:rPr>
              <w:t>.</w:t>
            </w:r>
            <w:r w:rsidR="00B17775" w:rsidRPr="00B17775">
              <w:rPr>
                <w:i/>
                <w:iCs/>
                <w:sz w:val="22"/>
                <w:szCs w:val="22"/>
                <w:lang w:val="en-GB"/>
              </w:rPr>
              <w:t>“</w:t>
            </w:r>
            <w:proofErr w:type="gramEnd"/>
            <w:r w:rsidR="00B17775" w:rsidRPr="00B17775">
              <w:rPr>
                <w:i/>
                <w:iCs/>
                <w:sz w:val="22"/>
                <w:szCs w:val="22"/>
                <w:lang w:val="en-GB"/>
              </w:rPr>
              <w:t>.</w:t>
            </w:r>
          </w:p>
        </w:tc>
      </w:tr>
      <w:tr w:rsidR="00E06347" w:rsidRPr="00B42F50" w14:paraId="2FF34E48" w14:textId="77777777" w:rsidTr="009A6EF6">
        <w:tc>
          <w:tcPr>
            <w:tcW w:w="767" w:type="dxa"/>
          </w:tcPr>
          <w:p w14:paraId="2ABBA8B6" w14:textId="77777777" w:rsidR="00E51AA0" w:rsidRDefault="00E51AA0" w:rsidP="00D31902">
            <w:pPr>
              <w:jc w:val="both"/>
              <w:rPr>
                <w:b/>
                <w:sz w:val="22"/>
                <w:szCs w:val="22"/>
              </w:rPr>
            </w:pPr>
          </w:p>
          <w:p w14:paraId="524A2807" w14:textId="08C00B7A" w:rsidR="00E51AA0" w:rsidRDefault="00790926" w:rsidP="00D31902">
            <w:pPr>
              <w:jc w:val="both"/>
              <w:rPr>
                <w:b/>
                <w:sz w:val="22"/>
                <w:szCs w:val="22"/>
              </w:rPr>
            </w:pPr>
            <w:r>
              <w:rPr>
                <w:b/>
                <w:sz w:val="22"/>
                <w:szCs w:val="22"/>
              </w:rPr>
              <w:t>3</w:t>
            </w:r>
            <w:r w:rsidR="00E51AA0">
              <w:rPr>
                <w:b/>
                <w:sz w:val="22"/>
                <w:szCs w:val="22"/>
              </w:rPr>
              <w:t>0.</w:t>
            </w:r>
          </w:p>
          <w:p w14:paraId="255A0FF1" w14:textId="2FA46F2F" w:rsidR="00E06347" w:rsidRPr="00B42F50" w:rsidRDefault="008C0679" w:rsidP="00D31902">
            <w:pPr>
              <w:jc w:val="both"/>
              <w:rPr>
                <w:b/>
                <w:sz w:val="22"/>
                <w:szCs w:val="22"/>
              </w:rPr>
            </w:pPr>
            <w:r w:rsidRPr="00B42F50">
              <w:rPr>
                <w:b/>
                <w:sz w:val="22"/>
                <w:szCs w:val="22"/>
              </w:rPr>
              <w:t>EKsL</w:t>
            </w:r>
          </w:p>
        </w:tc>
        <w:tc>
          <w:tcPr>
            <w:tcW w:w="5514" w:type="dxa"/>
          </w:tcPr>
          <w:p w14:paraId="0B225830" w14:textId="25727042" w:rsidR="00E06347" w:rsidRPr="00A812EA" w:rsidRDefault="00086640" w:rsidP="00D31902">
            <w:pPr>
              <w:jc w:val="both"/>
              <w:rPr>
                <w:sz w:val="22"/>
                <w:szCs w:val="22"/>
              </w:rPr>
            </w:pPr>
            <w:r w:rsidRPr="00A812EA">
              <w:rPr>
                <w:sz w:val="22"/>
                <w:szCs w:val="22"/>
              </w:rPr>
              <w:t>2.5.2. Lg 4</w:t>
            </w:r>
            <w:r w:rsidRPr="00A812EA">
              <w:rPr>
                <w:sz w:val="22"/>
                <w:szCs w:val="22"/>
                <w:vertAlign w:val="superscript"/>
              </w:rPr>
              <w:t>1</w:t>
            </w:r>
            <w:r w:rsidRPr="00A812EA">
              <w:rPr>
                <w:sz w:val="22"/>
                <w:szCs w:val="22"/>
              </w:rPr>
              <w:t xml:space="preserve"> viimane lause „käesolevas lõikes sätestatu ei vabasta…“ rõhutab iseenesest mõistetavat kohustust riskide pidevaks juhtimiseks. Palume kaaluda selle lause väljajätmist, et vältida tarbetut dubleerimist. </w:t>
            </w:r>
          </w:p>
        </w:tc>
        <w:tc>
          <w:tcPr>
            <w:tcW w:w="1182" w:type="dxa"/>
          </w:tcPr>
          <w:p w14:paraId="3F9DCF6D" w14:textId="19224291" w:rsidR="00E06347" w:rsidRPr="00B42F50" w:rsidRDefault="007B328B" w:rsidP="00D31902">
            <w:pPr>
              <w:jc w:val="both"/>
              <w:rPr>
                <w:sz w:val="22"/>
                <w:szCs w:val="22"/>
              </w:rPr>
            </w:pPr>
            <w:r w:rsidRPr="00B42F50">
              <w:rPr>
                <w:sz w:val="22"/>
                <w:szCs w:val="22"/>
              </w:rPr>
              <w:t>Selgitatud</w:t>
            </w:r>
          </w:p>
        </w:tc>
        <w:tc>
          <w:tcPr>
            <w:tcW w:w="3198" w:type="dxa"/>
          </w:tcPr>
          <w:p w14:paraId="242B65F6" w14:textId="2E4AE36C" w:rsidR="00E06347" w:rsidRPr="00B42F50" w:rsidRDefault="00897194" w:rsidP="00D31902">
            <w:pPr>
              <w:jc w:val="both"/>
              <w:rPr>
                <w:sz w:val="22"/>
                <w:szCs w:val="22"/>
              </w:rPr>
            </w:pPr>
            <w:r w:rsidRPr="00B42F50">
              <w:rPr>
                <w:sz w:val="22"/>
                <w:szCs w:val="22"/>
              </w:rPr>
              <w:t xml:space="preserve">Peame tõdema, et </w:t>
            </w:r>
            <w:r w:rsidR="00C03308">
              <w:rPr>
                <w:sz w:val="22"/>
                <w:szCs w:val="22"/>
              </w:rPr>
              <w:t xml:space="preserve">Euroopa </w:t>
            </w:r>
            <w:r w:rsidR="00FD57BA" w:rsidRPr="00B42F50">
              <w:rPr>
                <w:sz w:val="22"/>
                <w:szCs w:val="22"/>
              </w:rPr>
              <w:t>K</w:t>
            </w:r>
            <w:r w:rsidRPr="00B42F50">
              <w:rPr>
                <w:sz w:val="22"/>
                <w:szCs w:val="22"/>
              </w:rPr>
              <w:t>omisjoni hinnangul ei ole piisav põhjendus jätta direktiivi säte üle võtmata üksnes seetõttu, et see on regulatsioonist tuletatav.</w:t>
            </w:r>
          </w:p>
        </w:tc>
      </w:tr>
      <w:tr w:rsidR="00E06347" w:rsidRPr="00B42F50" w14:paraId="167F1BCC" w14:textId="77777777" w:rsidTr="009A6EF6">
        <w:tc>
          <w:tcPr>
            <w:tcW w:w="767" w:type="dxa"/>
          </w:tcPr>
          <w:p w14:paraId="34A884C8" w14:textId="77777777" w:rsidR="00E51AA0" w:rsidRDefault="00E51AA0" w:rsidP="00D31902">
            <w:pPr>
              <w:jc w:val="both"/>
              <w:rPr>
                <w:b/>
                <w:sz w:val="22"/>
                <w:szCs w:val="22"/>
              </w:rPr>
            </w:pPr>
          </w:p>
          <w:p w14:paraId="3BD0F427" w14:textId="6C00657C" w:rsidR="00E51AA0" w:rsidRDefault="00790926" w:rsidP="00D31902">
            <w:pPr>
              <w:jc w:val="both"/>
              <w:rPr>
                <w:b/>
                <w:sz w:val="22"/>
                <w:szCs w:val="22"/>
              </w:rPr>
            </w:pPr>
            <w:r>
              <w:rPr>
                <w:b/>
                <w:sz w:val="22"/>
                <w:szCs w:val="22"/>
              </w:rPr>
              <w:t>3</w:t>
            </w:r>
            <w:r w:rsidR="00E51AA0">
              <w:rPr>
                <w:b/>
                <w:sz w:val="22"/>
                <w:szCs w:val="22"/>
              </w:rPr>
              <w:t>1.</w:t>
            </w:r>
          </w:p>
          <w:p w14:paraId="19550AAD" w14:textId="585479C9" w:rsidR="00E06347" w:rsidRPr="00B42F50" w:rsidRDefault="0061343E" w:rsidP="00D31902">
            <w:pPr>
              <w:jc w:val="both"/>
              <w:rPr>
                <w:b/>
                <w:sz w:val="22"/>
                <w:szCs w:val="22"/>
              </w:rPr>
            </w:pPr>
            <w:r w:rsidRPr="00B42F50">
              <w:rPr>
                <w:b/>
                <w:sz w:val="22"/>
                <w:szCs w:val="22"/>
              </w:rPr>
              <w:t>EKsL</w:t>
            </w:r>
          </w:p>
        </w:tc>
        <w:tc>
          <w:tcPr>
            <w:tcW w:w="5514" w:type="dxa"/>
          </w:tcPr>
          <w:p w14:paraId="6E8758CD" w14:textId="72B58BF7" w:rsidR="00E06347" w:rsidRPr="00B42F50" w:rsidRDefault="00D8055E" w:rsidP="00D31902">
            <w:pPr>
              <w:jc w:val="both"/>
              <w:rPr>
                <w:sz w:val="22"/>
                <w:szCs w:val="22"/>
              </w:rPr>
            </w:pPr>
            <w:r w:rsidRPr="00A812EA">
              <w:rPr>
                <w:sz w:val="22"/>
                <w:szCs w:val="22"/>
              </w:rPr>
              <w:t>2.6.</w:t>
            </w:r>
            <w:r w:rsidRPr="00B42F50">
              <w:rPr>
                <w:sz w:val="22"/>
                <w:szCs w:val="22"/>
              </w:rPr>
              <w:t xml:space="preserve"> KindlTS § 100² sõnastamisel on oluline arvestada direktiivis sisalduvat täpsustust </w:t>
            </w:r>
            <w:r w:rsidRPr="00B42F50">
              <w:rPr>
                <w:i/>
                <w:iCs/>
                <w:sz w:val="22"/>
                <w:szCs w:val="22"/>
              </w:rPr>
              <w:t>„</w:t>
            </w:r>
            <w:proofErr w:type="spellStart"/>
            <w:r w:rsidRPr="00B42F50">
              <w:rPr>
                <w:i/>
                <w:iCs/>
                <w:sz w:val="22"/>
                <w:szCs w:val="22"/>
              </w:rPr>
              <w:t>material</w:t>
            </w:r>
            <w:proofErr w:type="spellEnd"/>
            <w:r w:rsidRPr="00B42F50">
              <w:rPr>
                <w:i/>
                <w:iCs/>
                <w:sz w:val="22"/>
                <w:szCs w:val="22"/>
              </w:rPr>
              <w:t xml:space="preserve"> </w:t>
            </w:r>
            <w:proofErr w:type="spellStart"/>
            <w:r w:rsidRPr="00B42F50">
              <w:rPr>
                <w:i/>
                <w:iCs/>
                <w:sz w:val="22"/>
                <w:szCs w:val="22"/>
              </w:rPr>
              <w:t>exposure</w:t>
            </w:r>
            <w:proofErr w:type="spellEnd"/>
            <w:r w:rsidRPr="00B42F50">
              <w:rPr>
                <w:i/>
                <w:iCs/>
                <w:sz w:val="22"/>
                <w:szCs w:val="22"/>
              </w:rPr>
              <w:t>“</w:t>
            </w:r>
            <w:r w:rsidRPr="00B42F50">
              <w:rPr>
                <w:sz w:val="22"/>
                <w:szCs w:val="22"/>
              </w:rPr>
              <w:t xml:space="preserve">. Eelnõus tuleks selgelt väljendada, et nõue rakendub juhul, kui kindlustusandja tegevus on kliimamuutustest materiaalselt oluliselt mõjutatud (vt ka 2.5.1). </w:t>
            </w:r>
          </w:p>
        </w:tc>
        <w:tc>
          <w:tcPr>
            <w:tcW w:w="1182" w:type="dxa"/>
          </w:tcPr>
          <w:p w14:paraId="59669506" w14:textId="6AB88C33" w:rsidR="00E06347" w:rsidRPr="00B42F50" w:rsidRDefault="00E009A6" w:rsidP="00D31902">
            <w:pPr>
              <w:jc w:val="both"/>
              <w:rPr>
                <w:sz w:val="22"/>
                <w:szCs w:val="22"/>
              </w:rPr>
            </w:pPr>
            <w:r w:rsidRPr="00B42F50">
              <w:rPr>
                <w:sz w:val="22"/>
                <w:szCs w:val="22"/>
              </w:rPr>
              <w:t>Selgitatud</w:t>
            </w:r>
          </w:p>
        </w:tc>
        <w:tc>
          <w:tcPr>
            <w:tcW w:w="3198" w:type="dxa"/>
          </w:tcPr>
          <w:p w14:paraId="4F6FFE64" w14:textId="659C6ED6" w:rsidR="00E06347" w:rsidRPr="00B42F50" w:rsidRDefault="00897654" w:rsidP="00D31902">
            <w:pPr>
              <w:jc w:val="both"/>
              <w:rPr>
                <w:sz w:val="22"/>
                <w:szCs w:val="22"/>
              </w:rPr>
            </w:pPr>
            <w:r w:rsidRPr="00B42F50">
              <w:rPr>
                <w:sz w:val="22"/>
                <w:szCs w:val="22"/>
              </w:rPr>
              <w:t>Lõi</w:t>
            </w:r>
            <w:r w:rsidR="00402F53" w:rsidRPr="00B42F50">
              <w:rPr>
                <w:sz w:val="22"/>
                <w:szCs w:val="22"/>
              </w:rPr>
              <w:t>ge</w:t>
            </w:r>
            <w:r w:rsidRPr="00B42F50">
              <w:rPr>
                <w:sz w:val="22"/>
                <w:szCs w:val="22"/>
              </w:rPr>
              <w:t xml:space="preserve"> 1 </w:t>
            </w:r>
            <w:r w:rsidR="00402F53" w:rsidRPr="00B42F50">
              <w:rPr>
                <w:sz w:val="22"/>
                <w:szCs w:val="22"/>
              </w:rPr>
              <w:t xml:space="preserve">ütleb, et kui </w:t>
            </w:r>
            <w:r w:rsidRPr="00B42F50">
              <w:rPr>
                <w:sz w:val="22"/>
                <w:szCs w:val="22"/>
              </w:rPr>
              <w:t xml:space="preserve">§ 100 lõike 1 punktis 7 sätestatud hindamise korral selgub, et kliimamuutustega seotud riskid </w:t>
            </w:r>
            <w:r w:rsidRPr="00B42F50">
              <w:rPr>
                <w:sz w:val="22"/>
                <w:szCs w:val="22"/>
                <w:u w:val="single"/>
              </w:rPr>
              <w:t>mõjutavad kindlustusandjat</w:t>
            </w:r>
            <w:r w:rsidRPr="00B42F50">
              <w:rPr>
                <w:sz w:val="22"/>
                <w:szCs w:val="22"/>
              </w:rPr>
              <w:t xml:space="preserve"> </w:t>
            </w:r>
            <w:r w:rsidRPr="00B42F50">
              <w:rPr>
                <w:sz w:val="22"/>
                <w:szCs w:val="22"/>
                <w:u w:val="single"/>
              </w:rPr>
              <w:t>oluliselt</w:t>
            </w:r>
            <w:r w:rsidRPr="00B42F50">
              <w:rPr>
                <w:sz w:val="22"/>
                <w:szCs w:val="22"/>
              </w:rPr>
              <w:t xml:space="preserve">, koostab kindlustusandja </w:t>
            </w:r>
            <w:r w:rsidR="00743AE6" w:rsidRPr="00B42F50">
              <w:rPr>
                <w:sz w:val="22"/>
                <w:szCs w:val="22"/>
              </w:rPr>
              <w:t xml:space="preserve">kliimamuutuste </w:t>
            </w:r>
            <w:r w:rsidRPr="00B42F50">
              <w:rPr>
                <w:sz w:val="22"/>
                <w:szCs w:val="22"/>
              </w:rPr>
              <w:t>stsenaariumid</w:t>
            </w:r>
            <w:r w:rsidR="00743AE6" w:rsidRPr="00B42F50">
              <w:rPr>
                <w:sz w:val="22"/>
                <w:szCs w:val="22"/>
              </w:rPr>
              <w:t xml:space="preserve"> ehk meie hinnangul tuleb </w:t>
            </w:r>
            <w:r w:rsidR="00311EB8" w:rsidRPr="00B42F50">
              <w:rPr>
                <w:sz w:val="22"/>
                <w:szCs w:val="22"/>
              </w:rPr>
              <w:t>selgelt välja, et see nõue kohaldub vaid siis kui kliimamuutustega seotud riskid on olulised.</w:t>
            </w:r>
          </w:p>
        </w:tc>
      </w:tr>
      <w:tr w:rsidR="00BD10A0" w:rsidRPr="00B42F50" w14:paraId="50DA9C29" w14:textId="77777777" w:rsidTr="009A6EF6">
        <w:tc>
          <w:tcPr>
            <w:tcW w:w="767" w:type="dxa"/>
          </w:tcPr>
          <w:p w14:paraId="34A471B2" w14:textId="77777777" w:rsidR="00BD10A0" w:rsidRPr="00B42F50" w:rsidRDefault="00BD10A0" w:rsidP="00D31902">
            <w:pPr>
              <w:jc w:val="both"/>
              <w:rPr>
                <w:b/>
                <w:sz w:val="22"/>
                <w:szCs w:val="22"/>
              </w:rPr>
            </w:pPr>
          </w:p>
        </w:tc>
        <w:tc>
          <w:tcPr>
            <w:tcW w:w="5514" w:type="dxa"/>
          </w:tcPr>
          <w:p w14:paraId="23AA845F" w14:textId="66F5991F" w:rsidR="00BD10A0" w:rsidRPr="00A812EA" w:rsidRDefault="00337C69" w:rsidP="00D31902">
            <w:pPr>
              <w:jc w:val="both"/>
              <w:rPr>
                <w:sz w:val="22"/>
                <w:szCs w:val="22"/>
              </w:rPr>
            </w:pPr>
            <w:r w:rsidRPr="00A812EA">
              <w:rPr>
                <w:sz w:val="22"/>
                <w:szCs w:val="22"/>
              </w:rPr>
              <w:t>3. Õigusabikulude kindlustusega seotud muudatused</w:t>
            </w:r>
          </w:p>
        </w:tc>
        <w:tc>
          <w:tcPr>
            <w:tcW w:w="1182" w:type="dxa"/>
          </w:tcPr>
          <w:p w14:paraId="5FA4E7A8" w14:textId="77777777" w:rsidR="00BD10A0" w:rsidRPr="00B42F50" w:rsidRDefault="00BD10A0" w:rsidP="00D31902">
            <w:pPr>
              <w:jc w:val="both"/>
              <w:rPr>
                <w:sz w:val="22"/>
                <w:szCs w:val="22"/>
              </w:rPr>
            </w:pPr>
          </w:p>
        </w:tc>
        <w:tc>
          <w:tcPr>
            <w:tcW w:w="3198" w:type="dxa"/>
          </w:tcPr>
          <w:p w14:paraId="54580C3E" w14:textId="77777777" w:rsidR="00BD10A0" w:rsidRPr="00B42F50" w:rsidRDefault="00BD10A0" w:rsidP="00D31902">
            <w:pPr>
              <w:jc w:val="both"/>
              <w:rPr>
                <w:sz w:val="22"/>
                <w:szCs w:val="22"/>
              </w:rPr>
            </w:pPr>
          </w:p>
        </w:tc>
      </w:tr>
      <w:tr w:rsidR="00BD10A0" w:rsidRPr="00B42F50" w14:paraId="6B40EBD6" w14:textId="77777777" w:rsidTr="009A6EF6">
        <w:tc>
          <w:tcPr>
            <w:tcW w:w="767" w:type="dxa"/>
          </w:tcPr>
          <w:p w14:paraId="758BADD1" w14:textId="1468FB36" w:rsidR="00E51AA0" w:rsidRDefault="00790926" w:rsidP="00D31902">
            <w:pPr>
              <w:jc w:val="both"/>
              <w:rPr>
                <w:b/>
                <w:sz w:val="22"/>
                <w:szCs w:val="22"/>
              </w:rPr>
            </w:pPr>
            <w:r>
              <w:rPr>
                <w:b/>
                <w:sz w:val="22"/>
                <w:szCs w:val="22"/>
              </w:rPr>
              <w:t>3</w:t>
            </w:r>
            <w:r w:rsidR="00E51AA0">
              <w:rPr>
                <w:b/>
                <w:sz w:val="22"/>
                <w:szCs w:val="22"/>
              </w:rPr>
              <w:t>2.</w:t>
            </w:r>
          </w:p>
          <w:p w14:paraId="56513B50" w14:textId="7BE0AE4D" w:rsidR="00BD10A0" w:rsidRPr="00B42F50" w:rsidRDefault="00C008AC" w:rsidP="00D31902">
            <w:pPr>
              <w:jc w:val="both"/>
              <w:rPr>
                <w:b/>
                <w:sz w:val="22"/>
                <w:szCs w:val="22"/>
              </w:rPr>
            </w:pPr>
            <w:r w:rsidRPr="00B42F50">
              <w:rPr>
                <w:b/>
                <w:sz w:val="22"/>
                <w:szCs w:val="22"/>
              </w:rPr>
              <w:t>EKsL</w:t>
            </w:r>
          </w:p>
        </w:tc>
        <w:tc>
          <w:tcPr>
            <w:tcW w:w="5514" w:type="dxa"/>
          </w:tcPr>
          <w:p w14:paraId="055D43F5" w14:textId="5D7A8F35" w:rsidR="00BD10A0" w:rsidRPr="00A812EA" w:rsidRDefault="004D272B" w:rsidP="00D31902">
            <w:pPr>
              <w:numPr>
                <w:ilvl w:val="1"/>
                <w:numId w:val="12"/>
              </w:numPr>
              <w:jc w:val="both"/>
              <w:rPr>
                <w:sz w:val="22"/>
                <w:szCs w:val="22"/>
              </w:rPr>
            </w:pPr>
            <w:r w:rsidRPr="00A812EA">
              <w:rPr>
                <w:sz w:val="22"/>
                <w:szCs w:val="22"/>
              </w:rPr>
              <w:t>3.1. Teeme ettepaneku KindlTS § 103</w:t>
            </w:r>
            <w:r w:rsidRPr="00A812EA">
              <w:rPr>
                <w:sz w:val="22"/>
                <w:szCs w:val="22"/>
                <w:vertAlign w:val="superscript"/>
              </w:rPr>
              <w:t>3</w:t>
            </w:r>
            <w:r w:rsidRPr="00A812EA">
              <w:rPr>
                <w:sz w:val="22"/>
                <w:szCs w:val="22"/>
              </w:rPr>
              <w:t xml:space="preserve"> muuta lõiget 4 ja jätta välja sõnad </w:t>
            </w:r>
            <w:r w:rsidRPr="00A812EA">
              <w:rPr>
                <w:i/>
                <w:iCs/>
                <w:sz w:val="22"/>
                <w:szCs w:val="22"/>
              </w:rPr>
              <w:t>„või muu kvalifitseerutud isiku“</w:t>
            </w:r>
            <w:r w:rsidRPr="00A812EA">
              <w:rPr>
                <w:sz w:val="22"/>
                <w:szCs w:val="22"/>
              </w:rPr>
              <w:t xml:space="preserve">, et tagada kliendi kvaliteetne esindamine. Advokatuuriseadus seab advokaadile ja õigusteenuse osutamisele selged nõuded (kutseeksam, täiendusõpe, eetikanõuded, järelevalve, kohustuslik kindlustus), mis üldjuhul tagab kliendile nõuetele vastava õigusteenuse osutamise kvalifitseeritud advokaadi poolt. Näiteks on meie liikmed osutanud, et mitteadvokaadist esindaja korral võib tekkida risk kvaliteedi osas, samuti on esinenud kindlustuskelmuste juhtumeid. Sama muudatuse palume teha ka läbivalt VÕS §-s 528. </w:t>
            </w:r>
          </w:p>
        </w:tc>
        <w:tc>
          <w:tcPr>
            <w:tcW w:w="1182" w:type="dxa"/>
          </w:tcPr>
          <w:p w14:paraId="6604C3F3" w14:textId="0094BE30" w:rsidR="00BD10A0" w:rsidRPr="00B42F50" w:rsidRDefault="00C214D5" w:rsidP="00D31902">
            <w:pPr>
              <w:jc w:val="center"/>
              <w:rPr>
                <w:sz w:val="22"/>
                <w:szCs w:val="22"/>
              </w:rPr>
            </w:pPr>
            <w:r w:rsidRPr="00B42F50">
              <w:rPr>
                <w:sz w:val="22"/>
                <w:szCs w:val="22"/>
              </w:rPr>
              <w:t>Mitte arvestatud</w:t>
            </w:r>
          </w:p>
        </w:tc>
        <w:tc>
          <w:tcPr>
            <w:tcW w:w="3198" w:type="dxa"/>
          </w:tcPr>
          <w:p w14:paraId="204A8B02" w14:textId="4BB04F5D" w:rsidR="00DE3344" w:rsidRPr="00B42F50" w:rsidRDefault="00DE3344" w:rsidP="00D31902">
            <w:pPr>
              <w:jc w:val="both"/>
              <w:rPr>
                <w:sz w:val="22"/>
                <w:szCs w:val="22"/>
              </w:rPr>
            </w:pPr>
            <w:r w:rsidRPr="00B42F50">
              <w:rPr>
                <w:sz w:val="22"/>
                <w:szCs w:val="22"/>
              </w:rPr>
              <w:t>Solventsus II direktiivi artikli 201 lõike 1 kohaselt</w:t>
            </w:r>
            <w:r w:rsidR="004A61A5" w:rsidRPr="00B42F50">
              <w:rPr>
                <w:sz w:val="22"/>
                <w:szCs w:val="22"/>
              </w:rPr>
              <w:t xml:space="preserve"> märgitakse i</w:t>
            </w:r>
            <w:r w:rsidRPr="00B42F50">
              <w:rPr>
                <w:sz w:val="22"/>
                <w:szCs w:val="22"/>
              </w:rPr>
              <w:t>gas õigusabikulude</w:t>
            </w:r>
            <w:r w:rsidRPr="00B42F50">
              <w:rPr>
                <w:i/>
                <w:iCs/>
                <w:sz w:val="22"/>
                <w:szCs w:val="22"/>
              </w:rPr>
              <w:t xml:space="preserve"> </w:t>
            </w:r>
            <w:r w:rsidRPr="00B42F50">
              <w:rPr>
                <w:sz w:val="22"/>
                <w:szCs w:val="22"/>
              </w:rPr>
              <w:t>kindlustuse lepingus sõnaselgelt, et:</w:t>
            </w:r>
          </w:p>
          <w:p w14:paraId="66C3A198" w14:textId="77777777" w:rsidR="00DE3344" w:rsidRPr="00B42F50" w:rsidRDefault="00DE3344" w:rsidP="00D31902">
            <w:pPr>
              <w:jc w:val="both"/>
              <w:rPr>
                <w:sz w:val="22"/>
                <w:szCs w:val="22"/>
              </w:rPr>
            </w:pPr>
            <w:r w:rsidRPr="00B42F50">
              <w:rPr>
                <w:sz w:val="22"/>
                <w:szCs w:val="22"/>
              </w:rPr>
              <w:t xml:space="preserve">a) kui kindlustatud isiku kaitsmiseks, esindamiseks või huvide eest seismiseks on kohtu- või haldusmenetluses vaja advokaadi </w:t>
            </w:r>
            <w:r w:rsidRPr="00B42F50">
              <w:rPr>
                <w:sz w:val="22"/>
                <w:szCs w:val="22"/>
                <w:u w:val="single"/>
              </w:rPr>
              <w:t>või muu liikmesriigi õiguse kohaselt sobivalt kvalifitseeritud isiku abi</w:t>
            </w:r>
            <w:r w:rsidRPr="00B42F50">
              <w:rPr>
                <w:sz w:val="22"/>
                <w:szCs w:val="22"/>
              </w:rPr>
              <w:t>, võib kindlustatud isik sellise advokaadi või muu isiku vabalt valida;</w:t>
            </w:r>
          </w:p>
          <w:p w14:paraId="7A1B2433" w14:textId="77777777" w:rsidR="00DE3344" w:rsidRPr="00B42F50" w:rsidRDefault="00DE3344" w:rsidP="00D31902">
            <w:pPr>
              <w:jc w:val="both"/>
              <w:rPr>
                <w:i/>
                <w:iCs/>
                <w:color w:val="FF0000"/>
                <w:sz w:val="22"/>
                <w:szCs w:val="22"/>
              </w:rPr>
            </w:pPr>
            <w:r w:rsidRPr="00B42F50">
              <w:rPr>
                <w:sz w:val="22"/>
                <w:szCs w:val="22"/>
              </w:rPr>
              <w:t xml:space="preserve">b) huvide konflikti korral võivad kindlustatud isikud oma huvide esindamiseks vabalt valida advokaadi </w:t>
            </w:r>
            <w:r w:rsidRPr="00B42F50">
              <w:rPr>
                <w:sz w:val="22"/>
                <w:szCs w:val="22"/>
                <w:u w:val="single"/>
              </w:rPr>
              <w:t>või juhul, kui nad seda eelistavad ja kui liikmesriigi õigus seda lubab</w:t>
            </w:r>
            <w:r w:rsidRPr="00B42F50">
              <w:rPr>
                <w:sz w:val="22"/>
                <w:szCs w:val="22"/>
              </w:rPr>
              <w:t xml:space="preserve">, </w:t>
            </w:r>
            <w:r w:rsidRPr="00B42F50">
              <w:rPr>
                <w:sz w:val="22"/>
                <w:szCs w:val="22"/>
                <w:u w:val="single"/>
              </w:rPr>
              <w:t>iga teise sobivalt kvalifitseeritud isiku</w:t>
            </w:r>
            <w:r w:rsidRPr="00B42F50">
              <w:rPr>
                <w:sz w:val="22"/>
                <w:szCs w:val="22"/>
              </w:rPr>
              <w:t>.</w:t>
            </w:r>
          </w:p>
          <w:p w14:paraId="5FC100CC" w14:textId="77777777" w:rsidR="000B1B32" w:rsidRPr="00B42F50" w:rsidRDefault="000B1B32" w:rsidP="00D31902">
            <w:pPr>
              <w:jc w:val="both"/>
              <w:rPr>
                <w:sz w:val="22"/>
                <w:szCs w:val="22"/>
              </w:rPr>
            </w:pPr>
          </w:p>
          <w:p w14:paraId="0820CEDE" w14:textId="355D8F98" w:rsidR="00C7413D" w:rsidRPr="00B42F50" w:rsidRDefault="00A27AE8" w:rsidP="00D31902">
            <w:pPr>
              <w:jc w:val="both"/>
              <w:rPr>
                <w:i/>
                <w:iCs/>
                <w:color w:val="FF0000"/>
                <w:sz w:val="22"/>
                <w:szCs w:val="22"/>
              </w:rPr>
            </w:pPr>
            <w:r w:rsidRPr="00B42F50">
              <w:rPr>
                <w:sz w:val="22"/>
                <w:szCs w:val="22"/>
              </w:rPr>
              <w:t>Juhime tähelepanu, et</w:t>
            </w:r>
            <w:r w:rsidR="00DE3344" w:rsidRPr="00B42F50">
              <w:rPr>
                <w:sz w:val="22"/>
                <w:szCs w:val="22"/>
              </w:rPr>
              <w:t xml:space="preserve"> punktid</w:t>
            </w:r>
            <w:r w:rsidR="00C7413D" w:rsidRPr="00B42F50">
              <w:rPr>
                <w:sz w:val="22"/>
                <w:szCs w:val="22"/>
              </w:rPr>
              <w:t>e</w:t>
            </w:r>
            <w:r w:rsidR="00DE3344" w:rsidRPr="00B42F50">
              <w:rPr>
                <w:sz w:val="22"/>
                <w:szCs w:val="22"/>
              </w:rPr>
              <w:t xml:space="preserve"> a ja b </w:t>
            </w:r>
            <w:r w:rsidR="00C7413D" w:rsidRPr="00B42F50">
              <w:rPr>
                <w:sz w:val="22"/>
                <w:szCs w:val="22"/>
              </w:rPr>
              <w:t xml:space="preserve">viide </w:t>
            </w:r>
            <w:r w:rsidR="000255D8" w:rsidRPr="00B42F50">
              <w:rPr>
                <w:sz w:val="22"/>
                <w:szCs w:val="22"/>
              </w:rPr>
              <w:t>kvalifitseeritud isikule</w:t>
            </w:r>
            <w:r w:rsidR="006D4C62" w:rsidRPr="00B42F50">
              <w:rPr>
                <w:sz w:val="22"/>
                <w:szCs w:val="22"/>
              </w:rPr>
              <w:t xml:space="preserve"> </w:t>
            </w:r>
            <w:r w:rsidR="000255D8" w:rsidRPr="00B42F50">
              <w:rPr>
                <w:sz w:val="22"/>
                <w:szCs w:val="22"/>
              </w:rPr>
              <w:t>e</w:t>
            </w:r>
            <w:r w:rsidR="006D4C62" w:rsidRPr="00B42F50">
              <w:rPr>
                <w:sz w:val="22"/>
                <w:szCs w:val="22"/>
              </w:rPr>
              <w:t>i</w:t>
            </w:r>
            <w:r w:rsidR="000255D8" w:rsidRPr="00B42F50">
              <w:rPr>
                <w:sz w:val="22"/>
                <w:szCs w:val="22"/>
              </w:rPr>
              <w:t xml:space="preserve"> ole liikmesriigi val</w:t>
            </w:r>
            <w:r w:rsidR="007B6144" w:rsidRPr="00B42F50">
              <w:rPr>
                <w:sz w:val="22"/>
                <w:szCs w:val="22"/>
              </w:rPr>
              <w:t xml:space="preserve">ikukoht. </w:t>
            </w:r>
            <w:r w:rsidR="00092098" w:rsidRPr="00B42F50">
              <w:rPr>
                <w:sz w:val="22"/>
                <w:szCs w:val="22"/>
              </w:rPr>
              <w:t>Kuna</w:t>
            </w:r>
            <w:r w:rsidR="00CB3611" w:rsidRPr="00B42F50">
              <w:rPr>
                <w:sz w:val="22"/>
                <w:szCs w:val="22"/>
              </w:rPr>
              <w:t xml:space="preserve"> Eesti õigus lubab</w:t>
            </w:r>
            <w:r w:rsidR="00092098" w:rsidRPr="00B42F50">
              <w:rPr>
                <w:sz w:val="22"/>
                <w:szCs w:val="22"/>
              </w:rPr>
              <w:t xml:space="preserve"> tsiviilkohtumenetluse seadustiku § 218 lõike 1 punkti 2 kohaselt </w:t>
            </w:r>
            <w:r w:rsidR="00CB3611" w:rsidRPr="00B42F50">
              <w:rPr>
                <w:sz w:val="22"/>
                <w:szCs w:val="22"/>
              </w:rPr>
              <w:t xml:space="preserve">kohtus esindajaks olla </w:t>
            </w:r>
            <w:r w:rsidR="00092098" w:rsidRPr="00B42F50">
              <w:rPr>
                <w:sz w:val="22"/>
                <w:szCs w:val="22"/>
              </w:rPr>
              <w:t xml:space="preserve">lisaks </w:t>
            </w:r>
            <w:r w:rsidR="00092098" w:rsidRPr="00B42F50">
              <w:rPr>
                <w:sz w:val="22"/>
                <w:szCs w:val="22"/>
              </w:rPr>
              <w:lastRenderedPageBreak/>
              <w:t>advokaadile ka muu</w:t>
            </w:r>
            <w:r w:rsidR="00FE6137" w:rsidRPr="00B42F50">
              <w:rPr>
                <w:sz w:val="22"/>
                <w:szCs w:val="22"/>
              </w:rPr>
              <w:t>l</w:t>
            </w:r>
            <w:r w:rsidR="00092098" w:rsidRPr="00B42F50">
              <w:rPr>
                <w:sz w:val="22"/>
                <w:szCs w:val="22"/>
              </w:rPr>
              <w:t xml:space="preserve"> isik</w:t>
            </w:r>
            <w:r w:rsidR="00FE6137" w:rsidRPr="00B42F50">
              <w:rPr>
                <w:sz w:val="22"/>
                <w:szCs w:val="22"/>
              </w:rPr>
              <w:t>ul</w:t>
            </w:r>
            <w:r w:rsidR="00CB3611" w:rsidRPr="00B42F50">
              <w:rPr>
                <w:sz w:val="22"/>
                <w:szCs w:val="22"/>
              </w:rPr>
              <w:t xml:space="preserve">, siis </w:t>
            </w:r>
            <w:r w:rsidR="006D4C62" w:rsidRPr="00B42F50">
              <w:rPr>
                <w:sz w:val="22"/>
                <w:szCs w:val="22"/>
              </w:rPr>
              <w:t>on sellele võimalusele ka direktiivi sätte kohaldamisel viidatud.</w:t>
            </w:r>
          </w:p>
          <w:p w14:paraId="5804FD6B" w14:textId="77777777" w:rsidR="006D4C62" w:rsidRPr="00B42F50" w:rsidRDefault="006D4C62" w:rsidP="00D31902">
            <w:pPr>
              <w:jc w:val="both"/>
              <w:rPr>
                <w:i/>
                <w:iCs/>
                <w:color w:val="FF0000"/>
                <w:sz w:val="22"/>
                <w:szCs w:val="22"/>
                <w:highlight w:val="yellow"/>
              </w:rPr>
            </w:pPr>
          </w:p>
          <w:p w14:paraId="5FDE3916" w14:textId="14F67C2F" w:rsidR="00BD10A0" w:rsidRPr="00B42F50" w:rsidRDefault="00DE3344" w:rsidP="00D31902">
            <w:pPr>
              <w:jc w:val="both"/>
              <w:rPr>
                <w:i/>
                <w:iCs/>
                <w:color w:val="FF0000"/>
                <w:sz w:val="22"/>
                <w:szCs w:val="22"/>
              </w:rPr>
            </w:pPr>
            <w:r w:rsidRPr="00B42F50">
              <w:rPr>
                <w:sz w:val="22"/>
                <w:szCs w:val="22"/>
              </w:rPr>
              <w:t>Viide direktiivile 77/249 täpsustab vaid punktides a ja b nimetatud advokaadi määratlust ega tühista ära viidet muule kvalifitseeritud isikule.</w:t>
            </w:r>
          </w:p>
        </w:tc>
      </w:tr>
      <w:tr w:rsidR="00BD10A0" w:rsidRPr="00B42F50" w14:paraId="6BC7D76C" w14:textId="77777777" w:rsidTr="009A6EF6">
        <w:tc>
          <w:tcPr>
            <w:tcW w:w="767" w:type="dxa"/>
          </w:tcPr>
          <w:p w14:paraId="06A511D0" w14:textId="55E94BF7" w:rsidR="00E51AA0" w:rsidRDefault="00790926" w:rsidP="00D31902">
            <w:pPr>
              <w:jc w:val="both"/>
              <w:rPr>
                <w:b/>
                <w:sz w:val="22"/>
                <w:szCs w:val="22"/>
              </w:rPr>
            </w:pPr>
            <w:r>
              <w:rPr>
                <w:b/>
                <w:sz w:val="22"/>
                <w:szCs w:val="22"/>
              </w:rPr>
              <w:lastRenderedPageBreak/>
              <w:t>3</w:t>
            </w:r>
            <w:r w:rsidR="00E51AA0">
              <w:rPr>
                <w:b/>
                <w:sz w:val="22"/>
                <w:szCs w:val="22"/>
              </w:rPr>
              <w:t>3.</w:t>
            </w:r>
          </w:p>
          <w:p w14:paraId="6FBC3542" w14:textId="0A980FDC" w:rsidR="00BD10A0" w:rsidRPr="00B42F50" w:rsidRDefault="00C008AC" w:rsidP="00D31902">
            <w:pPr>
              <w:jc w:val="both"/>
              <w:rPr>
                <w:b/>
                <w:sz w:val="22"/>
                <w:szCs w:val="22"/>
              </w:rPr>
            </w:pPr>
            <w:r w:rsidRPr="00B42F50">
              <w:rPr>
                <w:b/>
                <w:sz w:val="22"/>
                <w:szCs w:val="22"/>
              </w:rPr>
              <w:t>EKsL</w:t>
            </w:r>
          </w:p>
        </w:tc>
        <w:tc>
          <w:tcPr>
            <w:tcW w:w="5514" w:type="dxa"/>
          </w:tcPr>
          <w:p w14:paraId="22541080" w14:textId="41C3E659" w:rsidR="00BD10A0" w:rsidRPr="00B42F50" w:rsidRDefault="00726940" w:rsidP="00D31902">
            <w:pPr>
              <w:jc w:val="both"/>
              <w:rPr>
                <w:sz w:val="22"/>
                <w:szCs w:val="22"/>
              </w:rPr>
            </w:pPr>
            <w:r w:rsidRPr="00E765C7">
              <w:rPr>
                <w:sz w:val="22"/>
                <w:szCs w:val="22"/>
              </w:rPr>
              <w:t>3.2.</w:t>
            </w:r>
            <w:r w:rsidRPr="00B42F50">
              <w:rPr>
                <w:sz w:val="22"/>
                <w:szCs w:val="22"/>
              </w:rPr>
              <w:t xml:space="preserve"> Teeme ettepaneku jätta VÕS § 526 muudatus eelnõust välja, sest Solventsus II artikkel 198 sätestab üksnes reguleerimisala ja ei määratle kindlustuskaitse kohustuslikku sisu. Juhul, kui peate siiski vajalikuks sätet muuta, siis teeme ettepaneku see sõnastada järgmiselt: „(1) Õigusabikulude kindlustuse puhul kohustub kindlustusandja kindlustusjuhtumi toimumisel kaitsma kindlustusvõtja õiguslikke huve lepinguga ettenähtud ulatuses ja kandma seetõttu tekkivad õigusabi-, menetlus- ja muud seesugused kulud. Eeldatakse, et kindlustus katab õigusabikulud kindlustusvõtja kaitseks või esindamiseks tsiviil-, kriminaal-, haldus- või muudes menetlustes või kindlustusvõtja vastu esitatud mis tahes nõude korral, samuti väljaspool ametiasutusi.“ </w:t>
            </w:r>
          </w:p>
        </w:tc>
        <w:tc>
          <w:tcPr>
            <w:tcW w:w="1182" w:type="dxa"/>
          </w:tcPr>
          <w:p w14:paraId="0E09CB28" w14:textId="6EC1A1B6" w:rsidR="00BD10A0" w:rsidRPr="00B42F50" w:rsidRDefault="00C609D0" w:rsidP="00D31902">
            <w:pPr>
              <w:jc w:val="center"/>
              <w:rPr>
                <w:sz w:val="22"/>
                <w:szCs w:val="22"/>
              </w:rPr>
            </w:pPr>
            <w:r w:rsidRPr="00B42F50">
              <w:rPr>
                <w:sz w:val="22"/>
                <w:szCs w:val="22"/>
              </w:rPr>
              <w:t>Mitte arvestatud</w:t>
            </w:r>
          </w:p>
        </w:tc>
        <w:tc>
          <w:tcPr>
            <w:tcW w:w="3198" w:type="dxa"/>
          </w:tcPr>
          <w:p w14:paraId="2A178AC6" w14:textId="6D0EEADB" w:rsidR="00E078FC" w:rsidRPr="00B42F50" w:rsidRDefault="00C609D0" w:rsidP="00D31902">
            <w:pPr>
              <w:jc w:val="both"/>
              <w:rPr>
                <w:sz w:val="22"/>
                <w:szCs w:val="22"/>
              </w:rPr>
            </w:pPr>
            <w:r w:rsidRPr="00B42F50">
              <w:rPr>
                <w:sz w:val="22"/>
                <w:szCs w:val="22"/>
              </w:rPr>
              <w:t>K</w:t>
            </w:r>
            <w:r w:rsidR="00E078FC" w:rsidRPr="00B42F50">
              <w:rPr>
                <w:sz w:val="22"/>
                <w:szCs w:val="22"/>
              </w:rPr>
              <w:t>ehtiv sõnastus ei vasta Solventsus II direktiivile, kuna:</w:t>
            </w:r>
          </w:p>
          <w:p w14:paraId="64338A2C" w14:textId="153ABDFD" w:rsidR="00E078FC" w:rsidRPr="00B42F50" w:rsidRDefault="00C47A86" w:rsidP="00D31902">
            <w:pPr>
              <w:jc w:val="both"/>
              <w:rPr>
                <w:sz w:val="22"/>
                <w:szCs w:val="22"/>
              </w:rPr>
            </w:pPr>
            <w:r w:rsidRPr="00B42F50">
              <w:rPr>
                <w:sz w:val="22"/>
                <w:szCs w:val="22"/>
              </w:rPr>
              <w:t xml:space="preserve">1) </w:t>
            </w:r>
            <w:r w:rsidR="00E078FC" w:rsidRPr="00B42F50">
              <w:rPr>
                <w:sz w:val="22"/>
                <w:szCs w:val="22"/>
              </w:rPr>
              <w:t xml:space="preserve">kehtiv </w:t>
            </w:r>
            <w:r w:rsidR="0028208B" w:rsidRPr="00B42F50">
              <w:rPr>
                <w:sz w:val="22"/>
                <w:szCs w:val="22"/>
              </w:rPr>
              <w:t xml:space="preserve">VÕS </w:t>
            </w:r>
            <w:r w:rsidR="00E078FC" w:rsidRPr="00B42F50">
              <w:rPr>
                <w:sz w:val="22"/>
                <w:szCs w:val="22"/>
              </w:rPr>
              <w:t xml:space="preserve">säte ei viita kohustusele osutada ka muid kindlustuskaitsega seotud teenuseid lepingus ettenähtud ulatuses (direktiivis: </w:t>
            </w:r>
            <w:r w:rsidR="00E078FC" w:rsidRPr="00B42F50">
              <w:rPr>
                <w:i/>
                <w:iCs/>
                <w:sz w:val="22"/>
                <w:szCs w:val="22"/>
                <w:lang w:val="en-GB"/>
              </w:rPr>
              <w:t>to provide other services directly linked to insurance cover</w:t>
            </w:r>
            <w:r w:rsidR="00E078FC" w:rsidRPr="00B42F50">
              <w:rPr>
                <w:sz w:val="22"/>
                <w:szCs w:val="22"/>
              </w:rPr>
              <w:t>).</w:t>
            </w:r>
          </w:p>
          <w:p w14:paraId="28489553" w14:textId="357A31DD" w:rsidR="00E078FC" w:rsidRPr="00B42F50" w:rsidRDefault="00C47A86" w:rsidP="00D31902">
            <w:pPr>
              <w:jc w:val="both"/>
              <w:rPr>
                <w:sz w:val="22"/>
                <w:szCs w:val="22"/>
              </w:rPr>
            </w:pPr>
            <w:r w:rsidRPr="00B42F50">
              <w:rPr>
                <w:sz w:val="22"/>
                <w:szCs w:val="22"/>
              </w:rPr>
              <w:t xml:space="preserve">2) </w:t>
            </w:r>
            <w:r w:rsidR="00E078FC" w:rsidRPr="00B42F50">
              <w:rPr>
                <w:sz w:val="22"/>
                <w:szCs w:val="22"/>
              </w:rPr>
              <w:t xml:space="preserve">kehtiva sõnastuse kohaselt eeldatakse, et kindlustus katab õigusabi nii kohtus kui haldusmenetluses, samuti väljaspool ametiasutusi. Kuna kehtiva seaduse sõnastuse kohaselt eeldatakse, siis võib kokku leppida sellest ka erinevalt. Direktiivi sõnastuse kohaselt tuuakse aga välja need juhud, mil eelkõige (in </w:t>
            </w:r>
            <w:proofErr w:type="spellStart"/>
            <w:r w:rsidR="00E078FC" w:rsidRPr="00B42F50">
              <w:rPr>
                <w:sz w:val="22"/>
                <w:szCs w:val="22"/>
              </w:rPr>
              <w:t>particular</w:t>
            </w:r>
            <w:proofErr w:type="spellEnd"/>
            <w:r w:rsidR="00E078FC" w:rsidRPr="00B42F50">
              <w:rPr>
                <w:sz w:val="22"/>
                <w:szCs w:val="22"/>
              </w:rPr>
              <w:t>) on kaitse tagatud ehk direktiivi kohaselt võib see ulatus olla pigem laiem. Seega on direktiivis kohustuslik sisu, mitte eeldus.</w:t>
            </w:r>
          </w:p>
          <w:p w14:paraId="28C36A0A" w14:textId="70859A7D" w:rsidR="00BD10A0" w:rsidRPr="00B42F50" w:rsidRDefault="00C47A86" w:rsidP="00D31902">
            <w:pPr>
              <w:jc w:val="both"/>
              <w:rPr>
                <w:sz w:val="22"/>
                <w:szCs w:val="22"/>
              </w:rPr>
            </w:pPr>
            <w:r w:rsidRPr="00B42F50">
              <w:rPr>
                <w:sz w:val="22"/>
                <w:szCs w:val="22"/>
              </w:rPr>
              <w:t>3) l</w:t>
            </w:r>
            <w:r w:rsidR="00E078FC" w:rsidRPr="00B42F50">
              <w:rPr>
                <w:sz w:val="22"/>
                <w:szCs w:val="22"/>
              </w:rPr>
              <w:t xml:space="preserve">isaks ei erista kehtiv sõnastus olukordi, kui kindlustatud isiku õigusi on rikutud (ta on kandnud kahju või saanud viga) ja kui kindlustatud isiku vastu on esitatud nõue. Kui nõue on esitatud isiku vastu, on ka kaitse ulatus laiem. </w:t>
            </w:r>
          </w:p>
        </w:tc>
      </w:tr>
      <w:tr w:rsidR="00BD10A0" w:rsidRPr="00B42F50" w14:paraId="5B4E8E76" w14:textId="77777777" w:rsidTr="009A6EF6">
        <w:tc>
          <w:tcPr>
            <w:tcW w:w="767" w:type="dxa"/>
            <w:tcBorders>
              <w:bottom w:val="single" w:sz="4" w:space="0" w:color="auto"/>
            </w:tcBorders>
          </w:tcPr>
          <w:p w14:paraId="52C41927" w14:textId="0A95A7D3" w:rsidR="00E51AA0" w:rsidRDefault="00790926" w:rsidP="00D31902">
            <w:pPr>
              <w:jc w:val="both"/>
              <w:rPr>
                <w:b/>
                <w:sz w:val="22"/>
                <w:szCs w:val="22"/>
              </w:rPr>
            </w:pPr>
            <w:r>
              <w:rPr>
                <w:b/>
                <w:sz w:val="22"/>
                <w:szCs w:val="22"/>
              </w:rPr>
              <w:t>3</w:t>
            </w:r>
            <w:r w:rsidR="00E51AA0">
              <w:rPr>
                <w:b/>
                <w:sz w:val="22"/>
                <w:szCs w:val="22"/>
              </w:rPr>
              <w:t>4.</w:t>
            </w:r>
          </w:p>
          <w:p w14:paraId="76520D64" w14:textId="328FD3FB" w:rsidR="00BD10A0" w:rsidRPr="00B42F50" w:rsidRDefault="00C008AC" w:rsidP="00D31902">
            <w:pPr>
              <w:jc w:val="both"/>
              <w:rPr>
                <w:b/>
                <w:sz w:val="22"/>
                <w:szCs w:val="22"/>
              </w:rPr>
            </w:pPr>
            <w:r w:rsidRPr="00B42F50">
              <w:rPr>
                <w:b/>
                <w:sz w:val="22"/>
                <w:szCs w:val="22"/>
              </w:rPr>
              <w:t>EKsL</w:t>
            </w:r>
          </w:p>
        </w:tc>
        <w:tc>
          <w:tcPr>
            <w:tcW w:w="5514" w:type="dxa"/>
            <w:tcBorders>
              <w:bottom w:val="single" w:sz="4" w:space="0" w:color="auto"/>
            </w:tcBorders>
          </w:tcPr>
          <w:p w14:paraId="44D89AA2" w14:textId="320063F7" w:rsidR="00BD10A0" w:rsidRPr="00B42F50" w:rsidRDefault="007002FF" w:rsidP="00D31902">
            <w:pPr>
              <w:jc w:val="both"/>
              <w:rPr>
                <w:sz w:val="22"/>
                <w:szCs w:val="22"/>
              </w:rPr>
            </w:pPr>
            <w:r w:rsidRPr="00E765C7">
              <w:rPr>
                <w:sz w:val="22"/>
                <w:szCs w:val="22"/>
              </w:rPr>
              <w:t>3.3.</w:t>
            </w:r>
            <w:r w:rsidRPr="00B42F50">
              <w:rPr>
                <w:sz w:val="22"/>
                <w:szCs w:val="22"/>
              </w:rPr>
              <w:t xml:space="preserve"> Palume VÕS § 528 lg 3 järgmises sõnastuses mitte kehtetuks tunnistada: „</w:t>
            </w:r>
            <w:r w:rsidRPr="00B42F50">
              <w:rPr>
                <w:i/>
                <w:iCs/>
                <w:sz w:val="22"/>
                <w:szCs w:val="22"/>
              </w:rPr>
              <w:t xml:space="preserve">Muud isikut kui advokaati võib kindlustusvõtja esindajaks kohtu- või haldusmenetluses või kindlustusvõtja õiguslike huvide kaitseks muul viisil määrata üksnes kokkuleppel kindlustusandjaga.“ </w:t>
            </w:r>
          </w:p>
        </w:tc>
        <w:tc>
          <w:tcPr>
            <w:tcW w:w="1182" w:type="dxa"/>
            <w:tcBorders>
              <w:bottom w:val="single" w:sz="4" w:space="0" w:color="auto"/>
            </w:tcBorders>
          </w:tcPr>
          <w:p w14:paraId="44B10282" w14:textId="0C80A534" w:rsidR="00BD10A0" w:rsidRPr="00B42F50" w:rsidRDefault="00781A04" w:rsidP="00D31902">
            <w:pPr>
              <w:jc w:val="center"/>
              <w:rPr>
                <w:sz w:val="22"/>
                <w:szCs w:val="22"/>
              </w:rPr>
            </w:pPr>
            <w:r w:rsidRPr="00B42F50">
              <w:rPr>
                <w:sz w:val="22"/>
                <w:szCs w:val="22"/>
              </w:rPr>
              <w:t>Mitte arvestatud</w:t>
            </w:r>
          </w:p>
        </w:tc>
        <w:tc>
          <w:tcPr>
            <w:tcW w:w="3198" w:type="dxa"/>
            <w:tcBorders>
              <w:bottom w:val="single" w:sz="4" w:space="0" w:color="auto"/>
            </w:tcBorders>
          </w:tcPr>
          <w:p w14:paraId="55B9FDE8" w14:textId="1DEB5E7C" w:rsidR="00BD10A0" w:rsidRPr="00B42F50" w:rsidRDefault="00147D9A" w:rsidP="00D31902">
            <w:pPr>
              <w:jc w:val="both"/>
              <w:rPr>
                <w:sz w:val="22"/>
                <w:szCs w:val="22"/>
              </w:rPr>
            </w:pPr>
            <w:r w:rsidRPr="00B42F50">
              <w:rPr>
                <w:sz w:val="22"/>
                <w:szCs w:val="22"/>
              </w:rPr>
              <w:t>L</w:t>
            </w:r>
            <w:r w:rsidR="00EF04B1" w:rsidRPr="00B42F50">
              <w:rPr>
                <w:sz w:val="22"/>
                <w:szCs w:val="22"/>
              </w:rPr>
              <w:t>õige 3</w:t>
            </w:r>
            <w:r w:rsidR="0007649B" w:rsidRPr="00B42F50">
              <w:rPr>
                <w:sz w:val="22"/>
                <w:szCs w:val="22"/>
              </w:rPr>
              <w:t xml:space="preserve"> sellises sõnastuses </w:t>
            </w:r>
            <w:r w:rsidR="00EF04B1" w:rsidRPr="00B42F50">
              <w:rPr>
                <w:sz w:val="22"/>
                <w:szCs w:val="22"/>
              </w:rPr>
              <w:t xml:space="preserve"> </w:t>
            </w:r>
            <w:r w:rsidR="0007649B" w:rsidRPr="00B42F50">
              <w:rPr>
                <w:sz w:val="22"/>
                <w:szCs w:val="22"/>
              </w:rPr>
              <w:t xml:space="preserve">ei ole kooskõlas </w:t>
            </w:r>
            <w:r w:rsidR="00EF04B1" w:rsidRPr="00B42F50">
              <w:rPr>
                <w:sz w:val="22"/>
                <w:szCs w:val="22"/>
              </w:rPr>
              <w:t>direktiivi</w:t>
            </w:r>
            <w:r w:rsidR="00D72D70" w:rsidRPr="00B42F50">
              <w:rPr>
                <w:sz w:val="22"/>
                <w:szCs w:val="22"/>
              </w:rPr>
              <w:t xml:space="preserve"> mõttega</w:t>
            </w:r>
            <w:r w:rsidR="00FE1B23" w:rsidRPr="00B42F50">
              <w:rPr>
                <w:sz w:val="22"/>
                <w:szCs w:val="22"/>
              </w:rPr>
              <w:t xml:space="preserve">, mille kohaselt võib esindajaks kohtus olla ka muu </w:t>
            </w:r>
            <w:r w:rsidR="00256655" w:rsidRPr="00B42F50">
              <w:rPr>
                <w:sz w:val="22"/>
                <w:szCs w:val="22"/>
              </w:rPr>
              <w:t xml:space="preserve">isik. See ei tähenda, et kindlustusandja </w:t>
            </w:r>
            <w:r w:rsidR="00894A93" w:rsidRPr="00B42F50">
              <w:rPr>
                <w:sz w:val="22"/>
                <w:szCs w:val="22"/>
              </w:rPr>
              <w:t xml:space="preserve">ei võiks kindlustusvõtjaga selles küsimuses eelnevalt konsulteerida ja </w:t>
            </w:r>
            <w:r w:rsidR="00D72D70" w:rsidRPr="00B42F50">
              <w:rPr>
                <w:sz w:val="22"/>
                <w:szCs w:val="22"/>
              </w:rPr>
              <w:t xml:space="preserve">esindaja kasutamise </w:t>
            </w:r>
            <w:r w:rsidR="003816C7" w:rsidRPr="00B42F50">
              <w:rPr>
                <w:sz w:val="22"/>
                <w:szCs w:val="22"/>
              </w:rPr>
              <w:t>tingimustes kokkuleppele jõuda.</w:t>
            </w:r>
          </w:p>
        </w:tc>
      </w:tr>
    </w:tbl>
    <w:p w14:paraId="3D51CB2E" w14:textId="77777777" w:rsidR="00C6527F" w:rsidRPr="00B42F50" w:rsidRDefault="00C6527F" w:rsidP="00D31902">
      <w:pPr>
        <w:rPr>
          <w:sz w:val="22"/>
          <w:szCs w:val="22"/>
        </w:rPr>
      </w:pPr>
    </w:p>
    <w:tbl>
      <w:tblPr>
        <w:tblW w:w="10680"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0"/>
      </w:tblGrid>
      <w:tr w:rsidR="0026060A" w:rsidRPr="00B42F50" w14:paraId="6236ED15" w14:textId="77777777">
        <w:tc>
          <w:tcPr>
            <w:tcW w:w="10680" w:type="dxa"/>
            <w:shd w:val="clear" w:color="auto" w:fill="D9D9D9" w:themeFill="background1" w:themeFillShade="D9"/>
            <w:vAlign w:val="center"/>
          </w:tcPr>
          <w:p w14:paraId="3A0B6538" w14:textId="0F0A911E" w:rsidR="0026060A" w:rsidRPr="00B42F50" w:rsidRDefault="0026060A" w:rsidP="00D31902">
            <w:pPr>
              <w:pStyle w:val="Pealkiri1"/>
              <w:spacing w:before="0" w:after="0" w:line="240" w:lineRule="auto"/>
              <w:jc w:val="both"/>
              <w:rPr>
                <w:rFonts w:ascii="Times New Roman" w:hAnsi="Times New Roman"/>
                <w:b/>
                <w:color w:val="auto"/>
                <w:sz w:val="22"/>
                <w:szCs w:val="22"/>
                <w:lang w:eastAsia="fr-FR"/>
              </w:rPr>
            </w:pPr>
            <w:bookmarkStart w:id="3" w:name="_Ref222303692"/>
            <w:r w:rsidRPr="00B42F50">
              <w:rPr>
                <w:rFonts w:ascii="Times New Roman" w:hAnsi="Times New Roman"/>
                <w:b/>
                <w:color w:val="auto"/>
                <w:sz w:val="22"/>
                <w:szCs w:val="22"/>
                <w:lang w:eastAsia="fr-FR"/>
              </w:rPr>
              <w:lastRenderedPageBreak/>
              <w:t>EESTI LIIKLSUKINDLUSTUSE FOND</w:t>
            </w:r>
            <w:bookmarkEnd w:id="3"/>
          </w:p>
        </w:tc>
      </w:tr>
    </w:tbl>
    <w:tbl>
      <w:tblPr>
        <w:tblStyle w:val="Kontuurtabel"/>
        <w:tblW w:w="10661" w:type="dxa"/>
        <w:tblInd w:w="-743" w:type="dxa"/>
        <w:tblLook w:val="00A0" w:firstRow="1" w:lastRow="0" w:firstColumn="1" w:lastColumn="0" w:noHBand="0" w:noVBand="0"/>
      </w:tblPr>
      <w:tblGrid>
        <w:gridCol w:w="737"/>
        <w:gridCol w:w="5494"/>
        <w:gridCol w:w="1182"/>
        <w:gridCol w:w="3248"/>
      </w:tblGrid>
      <w:tr w:rsidR="007B1180" w:rsidRPr="00B42F50" w14:paraId="75AAB8A5" w14:textId="77777777" w:rsidTr="007B1180">
        <w:tc>
          <w:tcPr>
            <w:tcW w:w="737" w:type="dxa"/>
          </w:tcPr>
          <w:p w14:paraId="3C2ADE82" w14:textId="77777777" w:rsidR="007B1180" w:rsidRPr="00B42F50" w:rsidRDefault="007B1180" w:rsidP="00D31902">
            <w:pPr>
              <w:jc w:val="both"/>
              <w:rPr>
                <w:b/>
                <w:sz w:val="22"/>
                <w:szCs w:val="22"/>
              </w:rPr>
            </w:pPr>
          </w:p>
        </w:tc>
        <w:tc>
          <w:tcPr>
            <w:tcW w:w="5494" w:type="dxa"/>
          </w:tcPr>
          <w:p w14:paraId="53A6E87C" w14:textId="31FF8C1D" w:rsidR="007B1180" w:rsidRPr="00863FB3" w:rsidRDefault="007B1180" w:rsidP="00D31902">
            <w:pPr>
              <w:numPr>
                <w:ilvl w:val="0"/>
                <w:numId w:val="4"/>
              </w:numPr>
              <w:jc w:val="both"/>
              <w:rPr>
                <w:sz w:val="22"/>
                <w:szCs w:val="22"/>
              </w:rPr>
            </w:pPr>
            <w:r w:rsidRPr="00863FB3">
              <w:rPr>
                <w:sz w:val="22"/>
                <w:szCs w:val="22"/>
              </w:rPr>
              <w:t xml:space="preserve">Kindlustustegevuse seaduse sätete kohaldamine LKF-i tegevusele </w:t>
            </w:r>
          </w:p>
        </w:tc>
        <w:tc>
          <w:tcPr>
            <w:tcW w:w="1182" w:type="dxa"/>
          </w:tcPr>
          <w:p w14:paraId="4531ACEC" w14:textId="77777777" w:rsidR="007B1180" w:rsidRPr="00B42F50" w:rsidRDefault="007B1180" w:rsidP="00D31902">
            <w:pPr>
              <w:jc w:val="center"/>
              <w:rPr>
                <w:sz w:val="22"/>
                <w:szCs w:val="22"/>
              </w:rPr>
            </w:pPr>
          </w:p>
        </w:tc>
        <w:tc>
          <w:tcPr>
            <w:tcW w:w="3248" w:type="dxa"/>
          </w:tcPr>
          <w:p w14:paraId="1DC3A557" w14:textId="77777777" w:rsidR="007B1180" w:rsidRPr="00B42F50" w:rsidRDefault="007B1180" w:rsidP="00D31902">
            <w:pPr>
              <w:jc w:val="both"/>
              <w:rPr>
                <w:i/>
                <w:iCs/>
                <w:sz w:val="22"/>
                <w:szCs w:val="22"/>
              </w:rPr>
            </w:pPr>
          </w:p>
        </w:tc>
      </w:tr>
      <w:tr w:rsidR="0026060A" w:rsidRPr="00B42F50" w14:paraId="29F8DFB7" w14:textId="77777777" w:rsidTr="007B1180">
        <w:tc>
          <w:tcPr>
            <w:tcW w:w="737" w:type="dxa"/>
          </w:tcPr>
          <w:p w14:paraId="57B40210" w14:textId="73002E36" w:rsidR="00A41957" w:rsidRDefault="00790926" w:rsidP="00D31902">
            <w:pPr>
              <w:jc w:val="both"/>
              <w:rPr>
                <w:b/>
                <w:sz w:val="22"/>
                <w:szCs w:val="22"/>
              </w:rPr>
            </w:pPr>
            <w:r>
              <w:rPr>
                <w:b/>
                <w:sz w:val="22"/>
                <w:szCs w:val="22"/>
              </w:rPr>
              <w:t>3</w:t>
            </w:r>
            <w:r w:rsidR="00A41957">
              <w:rPr>
                <w:b/>
                <w:sz w:val="22"/>
                <w:szCs w:val="22"/>
              </w:rPr>
              <w:t>5.</w:t>
            </w:r>
          </w:p>
          <w:p w14:paraId="50E976D6" w14:textId="057751EF" w:rsidR="0026060A" w:rsidRPr="00B42F50" w:rsidRDefault="00C008AC" w:rsidP="00D31902">
            <w:pPr>
              <w:jc w:val="both"/>
              <w:rPr>
                <w:b/>
                <w:sz w:val="22"/>
                <w:szCs w:val="22"/>
              </w:rPr>
            </w:pPr>
            <w:r w:rsidRPr="00B42F50">
              <w:rPr>
                <w:b/>
                <w:sz w:val="22"/>
                <w:szCs w:val="22"/>
              </w:rPr>
              <w:t>LKF</w:t>
            </w:r>
          </w:p>
        </w:tc>
        <w:tc>
          <w:tcPr>
            <w:tcW w:w="5494" w:type="dxa"/>
          </w:tcPr>
          <w:p w14:paraId="54C0B327" w14:textId="17271CC8" w:rsidR="003602CC" w:rsidRPr="00B42F50" w:rsidRDefault="003602CC" w:rsidP="00D31902">
            <w:pPr>
              <w:jc w:val="both"/>
              <w:rPr>
                <w:sz w:val="22"/>
                <w:szCs w:val="22"/>
              </w:rPr>
            </w:pPr>
            <w:r w:rsidRPr="00B42F50">
              <w:rPr>
                <w:sz w:val="22"/>
                <w:szCs w:val="22"/>
              </w:rPr>
              <w:t>Kindlustustegevust puudutavate nõuete kohaldamist LKF-</w:t>
            </w:r>
            <w:proofErr w:type="spellStart"/>
            <w:r w:rsidRPr="00B42F50">
              <w:rPr>
                <w:sz w:val="22"/>
                <w:szCs w:val="22"/>
              </w:rPr>
              <w:t>le</w:t>
            </w:r>
            <w:proofErr w:type="spellEnd"/>
            <w:r w:rsidRPr="00B42F50">
              <w:rPr>
                <w:sz w:val="22"/>
                <w:szCs w:val="22"/>
              </w:rPr>
              <w:t xml:space="preserve"> reguleerib peamiselt </w:t>
            </w:r>
            <w:proofErr w:type="spellStart"/>
            <w:r w:rsidRPr="00B42F50">
              <w:rPr>
                <w:sz w:val="22"/>
                <w:szCs w:val="22"/>
              </w:rPr>
              <w:t>LKindlS</w:t>
            </w:r>
            <w:proofErr w:type="spellEnd"/>
            <w:r w:rsidRPr="00B42F50">
              <w:rPr>
                <w:sz w:val="22"/>
                <w:szCs w:val="22"/>
              </w:rPr>
              <w:t xml:space="preserve"> § 71, mille lõike 1 kohaselt kohaldatakse LKF-</w:t>
            </w:r>
            <w:proofErr w:type="spellStart"/>
            <w:r w:rsidRPr="00B42F50">
              <w:rPr>
                <w:sz w:val="22"/>
                <w:szCs w:val="22"/>
              </w:rPr>
              <w:t>le</w:t>
            </w:r>
            <w:proofErr w:type="spellEnd"/>
            <w:r w:rsidRPr="00B42F50">
              <w:rPr>
                <w:sz w:val="22"/>
                <w:szCs w:val="22"/>
              </w:rPr>
              <w:t xml:space="preserve"> kindlustustegevuse seaduse §-s 52, § 83 lõigetes 1 ja 3, § 96 lõigetes 1 ja 7, § 99 lõike 1 punktides 1–5, 7 ja 8 ning lõikes 2, § 106 lõigetes 2 ja 5, § 108 lõigetes 1 ja 2 ning §-des 129, 217–220</w:t>
            </w:r>
            <w:r w:rsidRPr="00B42F50">
              <w:rPr>
                <w:sz w:val="22"/>
                <w:szCs w:val="22"/>
                <w:vertAlign w:val="superscript"/>
              </w:rPr>
              <w:t>1</w:t>
            </w:r>
            <w:r w:rsidRPr="00B42F50">
              <w:rPr>
                <w:sz w:val="22"/>
                <w:szCs w:val="22"/>
              </w:rPr>
              <w:t xml:space="preserve">, 253 ja 264 kindlustusandja kohta sätestatut. </w:t>
            </w:r>
          </w:p>
          <w:p w14:paraId="43F1A7D1" w14:textId="77777777" w:rsidR="00B7523A" w:rsidRPr="00B42F50" w:rsidRDefault="00B7523A" w:rsidP="00D31902">
            <w:pPr>
              <w:jc w:val="both"/>
              <w:rPr>
                <w:sz w:val="22"/>
                <w:szCs w:val="22"/>
              </w:rPr>
            </w:pPr>
          </w:p>
          <w:p w14:paraId="7FA5D4A7" w14:textId="77777777" w:rsidR="003602CC" w:rsidRPr="00B42F50" w:rsidRDefault="003602CC" w:rsidP="00D31902">
            <w:pPr>
              <w:jc w:val="both"/>
              <w:rPr>
                <w:sz w:val="22"/>
                <w:szCs w:val="22"/>
              </w:rPr>
            </w:pPr>
            <w:r w:rsidRPr="00B42F50">
              <w:rPr>
                <w:sz w:val="22"/>
                <w:szCs w:val="22"/>
              </w:rPr>
              <w:t xml:space="preserve">Seda loetelu plaanitakse eelnõuga täiendada § 96 lõikega 2, mis käsitleb kindlustusandja juhtimissüsteemi üldpõhimõtteid. </w:t>
            </w:r>
          </w:p>
          <w:p w14:paraId="64C1164D" w14:textId="77777777" w:rsidR="0026060A" w:rsidRPr="00B42F50" w:rsidRDefault="003602CC" w:rsidP="00D31902">
            <w:pPr>
              <w:jc w:val="both"/>
              <w:rPr>
                <w:sz w:val="22"/>
                <w:szCs w:val="22"/>
              </w:rPr>
            </w:pPr>
            <w:r w:rsidRPr="00B42F50">
              <w:rPr>
                <w:sz w:val="22"/>
                <w:szCs w:val="22"/>
              </w:rPr>
              <w:t xml:space="preserve">Kõigepealt juhime tähelepanu, et selline regulatsioon, millega LKF-iga sarnaseid funktsioone (garantiifond, maksejõuetusasutus, hüvitisorgan, teabekeskus) täitvatele isikutele kohaldatakse kindlustustegevuse ja Solventsus II nõudeid, on </w:t>
            </w:r>
            <w:proofErr w:type="spellStart"/>
            <w:r w:rsidRPr="00B42F50">
              <w:rPr>
                <w:sz w:val="22"/>
                <w:szCs w:val="22"/>
              </w:rPr>
              <w:t>EL-s</w:t>
            </w:r>
            <w:proofErr w:type="spellEnd"/>
            <w:r w:rsidRPr="00B42F50">
              <w:rPr>
                <w:sz w:val="22"/>
                <w:szCs w:val="22"/>
              </w:rPr>
              <w:t xml:space="preserve"> tavapäratu. Samuti on tavapäratu nende isikute allutamine kindlustusjärelevalvele. Meile on arusaadav </w:t>
            </w:r>
            <w:proofErr w:type="spellStart"/>
            <w:r w:rsidRPr="00B42F50">
              <w:rPr>
                <w:sz w:val="22"/>
                <w:szCs w:val="22"/>
              </w:rPr>
              <w:t>KindlTS</w:t>
            </w:r>
            <w:proofErr w:type="spellEnd"/>
            <w:r w:rsidRPr="00B42F50">
              <w:rPr>
                <w:sz w:val="22"/>
                <w:szCs w:val="22"/>
              </w:rPr>
              <w:t xml:space="preserve"> sätete kohaldamine LKF-</w:t>
            </w:r>
            <w:proofErr w:type="spellStart"/>
            <w:r w:rsidRPr="00B42F50">
              <w:rPr>
                <w:sz w:val="22"/>
                <w:szCs w:val="22"/>
              </w:rPr>
              <w:t>ile</w:t>
            </w:r>
            <w:proofErr w:type="spellEnd"/>
            <w:r w:rsidRPr="00B42F50">
              <w:rPr>
                <w:sz w:val="22"/>
                <w:szCs w:val="22"/>
              </w:rPr>
              <w:t>, millest tulenevad selged õigused, kohustused või juhised (nt § 99, 101). Küll aga jääb meile arusamatuks üldsätete ja sissejuhatavate sätete kohaldamine, millel on otsene puutumus sätetega, mida meie tegevusele ei kohaldata. Eelnõuga plaanitakse LKF-</w:t>
            </w:r>
            <w:proofErr w:type="spellStart"/>
            <w:r w:rsidRPr="00B42F50">
              <w:rPr>
                <w:sz w:val="22"/>
                <w:szCs w:val="22"/>
              </w:rPr>
              <w:t>le</w:t>
            </w:r>
            <w:proofErr w:type="spellEnd"/>
            <w:r w:rsidRPr="00B42F50">
              <w:rPr>
                <w:sz w:val="22"/>
                <w:szCs w:val="22"/>
              </w:rPr>
              <w:t xml:space="preserve"> kohaldada veel </w:t>
            </w:r>
            <w:proofErr w:type="spellStart"/>
            <w:r w:rsidRPr="00B42F50">
              <w:rPr>
                <w:sz w:val="22"/>
                <w:szCs w:val="22"/>
              </w:rPr>
              <w:t>KindlTS</w:t>
            </w:r>
            <w:proofErr w:type="spellEnd"/>
            <w:r w:rsidRPr="00B42F50">
              <w:rPr>
                <w:sz w:val="22"/>
                <w:szCs w:val="22"/>
              </w:rPr>
              <w:t xml:space="preserve"> § 96 lõiget 2, mille kohaselt peab kindlustusandja juhtimissüsteem olema üles ehitatud selliselt, et oleks tagatud organisatsioonistruktuuri läbipaistvus, ülesannete asjakohane lahusus ja vastutusalade selge jaotus. Oluline on märkida, et </w:t>
            </w:r>
            <w:proofErr w:type="spellStart"/>
            <w:r w:rsidRPr="00B42F50">
              <w:rPr>
                <w:sz w:val="22"/>
                <w:szCs w:val="22"/>
              </w:rPr>
              <w:t>LKindlS</w:t>
            </w:r>
            <w:proofErr w:type="spellEnd"/>
            <w:r w:rsidRPr="00B42F50">
              <w:rPr>
                <w:sz w:val="22"/>
                <w:szCs w:val="22"/>
              </w:rPr>
              <w:t xml:space="preserve"> § 71 järgi ei pea LKF-i juhtimissüsteem tagama suutlikkuse täita vastavuskontrolli ja siseauditi funktsioone ja teisi võtmefunktsioone (aktuaarifunktsiooni, riskijuhtimissüsteemi osast oma riske ja maksevõime hindamine) kohaldatakse üksnes </w:t>
            </w:r>
            <w:proofErr w:type="spellStart"/>
            <w:r w:rsidRPr="00B42F50">
              <w:rPr>
                <w:i/>
                <w:iCs/>
                <w:sz w:val="22"/>
                <w:szCs w:val="22"/>
              </w:rPr>
              <w:t>mutatis</w:t>
            </w:r>
            <w:proofErr w:type="spellEnd"/>
            <w:r w:rsidRPr="00B42F50">
              <w:rPr>
                <w:i/>
                <w:iCs/>
                <w:sz w:val="22"/>
                <w:szCs w:val="22"/>
              </w:rPr>
              <w:t xml:space="preserve"> mutandis </w:t>
            </w:r>
            <w:r w:rsidRPr="00B42F50">
              <w:rPr>
                <w:sz w:val="22"/>
                <w:szCs w:val="22"/>
              </w:rPr>
              <w:t>väga piiratud ulatuses. Meie hinnangul ei saa viidata seaduses sedavõrd abstraktsele KindlTS sättele, mis on seaduses avatud läbi võtmefunktsioonide ja delegeeritud määruse (EL) nr 2015/35, mida samuti LKF-</w:t>
            </w:r>
            <w:proofErr w:type="spellStart"/>
            <w:r w:rsidRPr="00B42F50">
              <w:rPr>
                <w:sz w:val="22"/>
                <w:szCs w:val="22"/>
              </w:rPr>
              <w:t>le</w:t>
            </w:r>
            <w:proofErr w:type="spellEnd"/>
            <w:r w:rsidRPr="00B42F50">
              <w:rPr>
                <w:sz w:val="22"/>
                <w:szCs w:val="22"/>
              </w:rPr>
              <w:t xml:space="preserve"> ei kohaldata. Praegusel kujul ei ole võimalik hinnata, mida kõnealuse sätte kohaldamine LKF-</w:t>
            </w:r>
            <w:proofErr w:type="spellStart"/>
            <w:r w:rsidRPr="00B42F50">
              <w:rPr>
                <w:sz w:val="22"/>
                <w:szCs w:val="22"/>
              </w:rPr>
              <w:t>le</w:t>
            </w:r>
            <w:proofErr w:type="spellEnd"/>
            <w:r w:rsidRPr="00B42F50">
              <w:rPr>
                <w:sz w:val="22"/>
                <w:szCs w:val="22"/>
              </w:rPr>
              <w:t xml:space="preserve"> kaasa toob, samuti pakub säte erinevaid tõlgendamise võimalusi ja tekitab ebakindlust.</w:t>
            </w:r>
          </w:p>
          <w:p w14:paraId="27E513F5" w14:textId="77777777" w:rsidR="00B7523A" w:rsidRPr="00B42F50" w:rsidRDefault="00B7523A" w:rsidP="00D31902">
            <w:pPr>
              <w:jc w:val="both"/>
              <w:rPr>
                <w:sz w:val="22"/>
                <w:szCs w:val="22"/>
              </w:rPr>
            </w:pPr>
          </w:p>
          <w:p w14:paraId="24BE98E7" w14:textId="77777777" w:rsidR="002712D6" w:rsidRPr="00B42F50" w:rsidRDefault="002712D6" w:rsidP="00D31902">
            <w:pPr>
              <w:jc w:val="both"/>
              <w:rPr>
                <w:sz w:val="22"/>
                <w:szCs w:val="22"/>
              </w:rPr>
            </w:pPr>
            <w:r w:rsidRPr="00B42F50">
              <w:rPr>
                <w:sz w:val="22"/>
                <w:szCs w:val="22"/>
              </w:rPr>
              <w:t xml:space="preserve">Teeme ettepaneku LKF-i tegevusele KindlTS kindlustusandja juhtimissüsteemi üldpõhimõtteid mitte kohaldada (§ 96 lõiget 1, 2 ja 7) ja reguleerida LKF-i juhtimist </w:t>
            </w:r>
            <w:proofErr w:type="spellStart"/>
            <w:r w:rsidRPr="00B42F50">
              <w:rPr>
                <w:sz w:val="22"/>
                <w:szCs w:val="22"/>
              </w:rPr>
              <w:t>LKindlS</w:t>
            </w:r>
            <w:proofErr w:type="spellEnd"/>
            <w:r w:rsidRPr="00B42F50">
              <w:rPr>
                <w:sz w:val="22"/>
                <w:szCs w:val="22"/>
              </w:rPr>
              <w:t xml:space="preserve">-s kui eriseaduses. Teeme ettepaneku täiendada </w:t>
            </w:r>
            <w:proofErr w:type="spellStart"/>
            <w:r w:rsidRPr="00B42F50">
              <w:rPr>
                <w:sz w:val="22"/>
                <w:szCs w:val="22"/>
              </w:rPr>
              <w:t>LKindlS</w:t>
            </w:r>
            <w:proofErr w:type="spellEnd"/>
            <w:r w:rsidRPr="00B42F50">
              <w:rPr>
                <w:sz w:val="22"/>
                <w:szCs w:val="22"/>
              </w:rPr>
              <w:t xml:space="preserve"> § 71 lõikega 1</w:t>
            </w:r>
            <w:r w:rsidRPr="00B42F50">
              <w:rPr>
                <w:sz w:val="22"/>
                <w:szCs w:val="22"/>
                <w:vertAlign w:val="superscript"/>
              </w:rPr>
              <w:t>1</w:t>
            </w:r>
            <w:r w:rsidRPr="00B42F50">
              <w:rPr>
                <w:sz w:val="22"/>
                <w:szCs w:val="22"/>
              </w:rPr>
              <w:t xml:space="preserve"> ja sõnastada see järgmiselt:</w:t>
            </w:r>
          </w:p>
          <w:p w14:paraId="3EFC8B44" w14:textId="77777777" w:rsidR="002712D6" w:rsidRPr="00B42F50" w:rsidRDefault="002712D6" w:rsidP="00D31902">
            <w:pPr>
              <w:jc w:val="both"/>
              <w:rPr>
                <w:sz w:val="22"/>
                <w:szCs w:val="22"/>
              </w:rPr>
            </w:pPr>
            <w:r w:rsidRPr="00B42F50">
              <w:rPr>
                <w:sz w:val="22"/>
                <w:szCs w:val="22"/>
              </w:rPr>
              <w:t>„(1</w:t>
            </w:r>
            <w:r w:rsidRPr="00B42F50">
              <w:rPr>
                <w:sz w:val="22"/>
                <w:szCs w:val="22"/>
                <w:vertAlign w:val="superscript"/>
              </w:rPr>
              <w:t>1</w:t>
            </w:r>
            <w:r w:rsidRPr="00B42F50">
              <w:rPr>
                <w:sz w:val="22"/>
                <w:szCs w:val="22"/>
              </w:rPr>
              <w:t xml:space="preserve">) Fondi juhtimine peab olema üles ehitatud selliselt, et oleks tagatud struktuuri läbipaistvus, käesolevast seadusest tulenevate ülesannete asjakohane lahusus ja vastutusalade jaotus, arvestades Fondi haldusülesannete olemust, ulatust ja keerukust. Fond peab tagama oma tegevuse, sealhulgas eriolukordi puudutavate kavade väljatöötamise, </w:t>
            </w:r>
            <w:r w:rsidRPr="00B42F50">
              <w:rPr>
                <w:sz w:val="22"/>
                <w:szCs w:val="22"/>
              </w:rPr>
              <w:lastRenderedPageBreak/>
              <w:t>järjepidevuse ja reeglipärasuse, rakendades selleks asjakohaseid ja proportsionaalseid süsteeme, ressursse ja protseduure.“.</w:t>
            </w:r>
          </w:p>
          <w:p w14:paraId="101F1E19" w14:textId="77777777" w:rsidR="002712D6" w:rsidRPr="00B42F50" w:rsidRDefault="002712D6" w:rsidP="00D31902">
            <w:pPr>
              <w:jc w:val="both"/>
              <w:rPr>
                <w:sz w:val="22"/>
                <w:szCs w:val="22"/>
              </w:rPr>
            </w:pPr>
          </w:p>
          <w:p w14:paraId="2780D9EB" w14:textId="79779620" w:rsidR="00B7523A" w:rsidRPr="00B42F50" w:rsidRDefault="002712D6" w:rsidP="00D31902">
            <w:pPr>
              <w:jc w:val="both"/>
              <w:rPr>
                <w:sz w:val="22"/>
                <w:szCs w:val="22"/>
              </w:rPr>
            </w:pPr>
            <w:proofErr w:type="spellStart"/>
            <w:r w:rsidRPr="00B42F50">
              <w:rPr>
                <w:sz w:val="22"/>
                <w:szCs w:val="22"/>
              </w:rPr>
              <w:t>LKindlS</w:t>
            </w:r>
            <w:proofErr w:type="spellEnd"/>
            <w:r w:rsidRPr="00B42F50">
              <w:rPr>
                <w:sz w:val="22"/>
                <w:szCs w:val="22"/>
              </w:rPr>
              <w:t xml:space="preserve"> § 71 lõikest 1 jätta välja viited KindlTS § 96 lõigetele 1, 2 ja 7, kuivõrd neid asendab edaspidi erisäte.</w:t>
            </w:r>
          </w:p>
        </w:tc>
        <w:tc>
          <w:tcPr>
            <w:tcW w:w="1182" w:type="dxa"/>
          </w:tcPr>
          <w:p w14:paraId="1534CE9C" w14:textId="74C178D7" w:rsidR="0026060A" w:rsidRPr="00B42F50" w:rsidRDefault="009679C8" w:rsidP="00D31902">
            <w:pPr>
              <w:jc w:val="center"/>
              <w:rPr>
                <w:sz w:val="22"/>
                <w:szCs w:val="22"/>
              </w:rPr>
            </w:pPr>
            <w:r w:rsidRPr="00B42F50">
              <w:rPr>
                <w:sz w:val="22"/>
                <w:szCs w:val="22"/>
              </w:rPr>
              <w:lastRenderedPageBreak/>
              <w:t>Arvestatud</w:t>
            </w:r>
          </w:p>
        </w:tc>
        <w:tc>
          <w:tcPr>
            <w:tcW w:w="3248" w:type="dxa"/>
          </w:tcPr>
          <w:p w14:paraId="25E70007" w14:textId="2A070F3B" w:rsidR="004718B5" w:rsidRPr="00B42F50" w:rsidRDefault="004718B5" w:rsidP="00D31902">
            <w:pPr>
              <w:jc w:val="both"/>
              <w:rPr>
                <w:i/>
                <w:iCs/>
                <w:sz w:val="22"/>
                <w:szCs w:val="22"/>
              </w:rPr>
            </w:pPr>
          </w:p>
        </w:tc>
      </w:tr>
      <w:tr w:rsidR="00DA0D81" w:rsidRPr="00B42F50" w14:paraId="2AFEB1F9" w14:textId="77777777" w:rsidTr="007B1180">
        <w:tc>
          <w:tcPr>
            <w:tcW w:w="737" w:type="dxa"/>
          </w:tcPr>
          <w:p w14:paraId="64F6E841" w14:textId="77777777" w:rsidR="00DA0D81" w:rsidRPr="00B42F50" w:rsidRDefault="00DA0D81" w:rsidP="00D31902">
            <w:pPr>
              <w:jc w:val="both"/>
              <w:rPr>
                <w:b/>
                <w:sz w:val="22"/>
                <w:szCs w:val="22"/>
              </w:rPr>
            </w:pPr>
          </w:p>
        </w:tc>
        <w:tc>
          <w:tcPr>
            <w:tcW w:w="5494" w:type="dxa"/>
          </w:tcPr>
          <w:p w14:paraId="6F38EEA9" w14:textId="5A5C002C" w:rsidR="00DA0D81" w:rsidRPr="00863FB3" w:rsidRDefault="001E1D65" w:rsidP="00D31902">
            <w:pPr>
              <w:jc w:val="both"/>
              <w:rPr>
                <w:sz w:val="22"/>
                <w:szCs w:val="22"/>
              </w:rPr>
            </w:pPr>
            <w:r w:rsidRPr="00863FB3">
              <w:rPr>
                <w:sz w:val="22"/>
                <w:szCs w:val="22"/>
              </w:rPr>
              <w:t xml:space="preserve">2. </w:t>
            </w:r>
            <w:r w:rsidR="00DA0D81" w:rsidRPr="00863FB3">
              <w:rPr>
                <w:sz w:val="22"/>
                <w:szCs w:val="22"/>
              </w:rPr>
              <w:t>Muud küsimused ja tähelepanekud</w:t>
            </w:r>
          </w:p>
        </w:tc>
        <w:tc>
          <w:tcPr>
            <w:tcW w:w="1182" w:type="dxa"/>
          </w:tcPr>
          <w:p w14:paraId="7628BC8E" w14:textId="77777777" w:rsidR="00DA0D81" w:rsidRPr="00B42F50" w:rsidRDefault="00DA0D81" w:rsidP="00D31902">
            <w:pPr>
              <w:jc w:val="both"/>
              <w:rPr>
                <w:sz w:val="22"/>
                <w:szCs w:val="22"/>
              </w:rPr>
            </w:pPr>
          </w:p>
        </w:tc>
        <w:tc>
          <w:tcPr>
            <w:tcW w:w="3248" w:type="dxa"/>
          </w:tcPr>
          <w:p w14:paraId="13D69AD6" w14:textId="77777777" w:rsidR="00DA0D81" w:rsidRPr="00B42F50" w:rsidRDefault="00DA0D81" w:rsidP="00D31902">
            <w:pPr>
              <w:jc w:val="both"/>
              <w:rPr>
                <w:sz w:val="22"/>
                <w:szCs w:val="22"/>
              </w:rPr>
            </w:pPr>
          </w:p>
        </w:tc>
      </w:tr>
      <w:tr w:rsidR="0026060A" w:rsidRPr="00B42F50" w14:paraId="4F080A23" w14:textId="77777777" w:rsidTr="007B1180">
        <w:tc>
          <w:tcPr>
            <w:tcW w:w="737" w:type="dxa"/>
          </w:tcPr>
          <w:p w14:paraId="262ABBFE" w14:textId="4E3232E3" w:rsidR="00A41957" w:rsidRDefault="00790926" w:rsidP="00D31902">
            <w:pPr>
              <w:jc w:val="both"/>
              <w:rPr>
                <w:b/>
                <w:sz w:val="22"/>
                <w:szCs w:val="22"/>
              </w:rPr>
            </w:pPr>
            <w:r>
              <w:rPr>
                <w:b/>
                <w:sz w:val="22"/>
                <w:szCs w:val="22"/>
              </w:rPr>
              <w:t>3</w:t>
            </w:r>
            <w:r w:rsidR="00A41957">
              <w:rPr>
                <w:b/>
                <w:sz w:val="22"/>
                <w:szCs w:val="22"/>
              </w:rPr>
              <w:t>6.</w:t>
            </w:r>
          </w:p>
          <w:p w14:paraId="4BAB3AC8" w14:textId="36DF8827" w:rsidR="0026060A" w:rsidRPr="00B42F50" w:rsidRDefault="00C008AC" w:rsidP="00D31902">
            <w:pPr>
              <w:jc w:val="both"/>
              <w:rPr>
                <w:b/>
                <w:sz w:val="22"/>
                <w:szCs w:val="22"/>
              </w:rPr>
            </w:pPr>
            <w:r w:rsidRPr="00B42F50">
              <w:rPr>
                <w:b/>
                <w:sz w:val="22"/>
                <w:szCs w:val="22"/>
              </w:rPr>
              <w:t>LKF</w:t>
            </w:r>
          </w:p>
        </w:tc>
        <w:tc>
          <w:tcPr>
            <w:tcW w:w="5494" w:type="dxa"/>
          </w:tcPr>
          <w:p w14:paraId="02FAF98E" w14:textId="448274B3" w:rsidR="0026060A" w:rsidRPr="00B42F50" w:rsidRDefault="001E1D65" w:rsidP="00D31902">
            <w:pPr>
              <w:numPr>
                <w:ilvl w:val="1"/>
                <w:numId w:val="5"/>
              </w:numPr>
              <w:jc w:val="both"/>
              <w:rPr>
                <w:sz w:val="22"/>
                <w:szCs w:val="22"/>
              </w:rPr>
            </w:pPr>
            <w:r w:rsidRPr="00863FB3">
              <w:rPr>
                <w:sz w:val="22"/>
                <w:szCs w:val="22"/>
              </w:rPr>
              <w:t>2.1.</w:t>
            </w:r>
            <w:r w:rsidRPr="00B42F50">
              <w:rPr>
                <w:sz w:val="22"/>
                <w:szCs w:val="22"/>
              </w:rPr>
              <w:t xml:space="preserve"> </w:t>
            </w:r>
            <w:proofErr w:type="spellStart"/>
            <w:r w:rsidR="00DA0D81" w:rsidRPr="00B42F50">
              <w:rPr>
                <w:sz w:val="22"/>
                <w:szCs w:val="22"/>
              </w:rPr>
              <w:t>LKindlS</w:t>
            </w:r>
            <w:proofErr w:type="spellEnd"/>
            <w:r w:rsidR="00DA0D81" w:rsidRPr="00B42F50">
              <w:rPr>
                <w:sz w:val="22"/>
                <w:szCs w:val="22"/>
              </w:rPr>
              <w:t xml:space="preserve"> § 71</w:t>
            </w:r>
            <w:r w:rsidR="00DA0D81" w:rsidRPr="00B42F50">
              <w:rPr>
                <w:sz w:val="22"/>
                <w:szCs w:val="22"/>
                <w:vertAlign w:val="superscript"/>
              </w:rPr>
              <w:t>4</w:t>
            </w:r>
            <w:r w:rsidR="00DA0D81" w:rsidRPr="00B42F50">
              <w:rPr>
                <w:sz w:val="22"/>
                <w:szCs w:val="22"/>
              </w:rPr>
              <w:t xml:space="preserve"> lõige 1 sisaldab sõnapaari "kindlustuslepinguliste jätkuvuse". Soovitus on kasutada sõnapaari "kindlustuskaitsete jätkuvuse" või „lepingute kehtivuse“. </w:t>
            </w:r>
          </w:p>
        </w:tc>
        <w:tc>
          <w:tcPr>
            <w:tcW w:w="1182" w:type="dxa"/>
          </w:tcPr>
          <w:p w14:paraId="71446977" w14:textId="5E3F1486" w:rsidR="0026060A" w:rsidRPr="00B42F50" w:rsidRDefault="009A5EEB" w:rsidP="00D31902">
            <w:pPr>
              <w:jc w:val="both"/>
              <w:rPr>
                <w:sz w:val="22"/>
                <w:szCs w:val="22"/>
              </w:rPr>
            </w:pPr>
            <w:r w:rsidRPr="00B42F50">
              <w:rPr>
                <w:sz w:val="22"/>
                <w:szCs w:val="22"/>
              </w:rPr>
              <w:t>Arvestatud</w:t>
            </w:r>
          </w:p>
        </w:tc>
        <w:tc>
          <w:tcPr>
            <w:tcW w:w="3248" w:type="dxa"/>
          </w:tcPr>
          <w:p w14:paraId="688EF2DD" w14:textId="77777777" w:rsidR="0026060A" w:rsidRPr="00B42F50" w:rsidRDefault="0026060A" w:rsidP="00D31902">
            <w:pPr>
              <w:jc w:val="both"/>
              <w:rPr>
                <w:sz w:val="22"/>
                <w:szCs w:val="22"/>
              </w:rPr>
            </w:pPr>
          </w:p>
        </w:tc>
      </w:tr>
      <w:tr w:rsidR="00A609CA" w:rsidRPr="00B42F50" w14:paraId="3E0F41E9" w14:textId="77777777" w:rsidTr="007B1180">
        <w:tc>
          <w:tcPr>
            <w:tcW w:w="737" w:type="dxa"/>
          </w:tcPr>
          <w:p w14:paraId="2B38A392" w14:textId="31EACF92" w:rsidR="00A41957" w:rsidRDefault="00790926" w:rsidP="00D31902">
            <w:pPr>
              <w:jc w:val="both"/>
              <w:rPr>
                <w:b/>
                <w:sz w:val="22"/>
                <w:szCs w:val="22"/>
              </w:rPr>
            </w:pPr>
            <w:r>
              <w:rPr>
                <w:b/>
                <w:sz w:val="22"/>
                <w:szCs w:val="22"/>
              </w:rPr>
              <w:t>3</w:t>
            </w:r>
            <w:r w:rsidR="00A41957">
              <w:rPr>
                <w:b/>
                <w:sz w:val="22"/>
                <w:szCs w:val="22"/>
              </w:rPr>
              <w:t>7.</w:t>
            </w:r>
          </w:p>
          <w:p w14:paraId="1508AD00" w14:textId="4BCF7D47" w:rsidR="00A609CA" w:rsidRPr="00B42F50" w:rsidRDefault="00C008AC" w:rsidP="00D31902">
            <w:pPr>
              <w:jc w:val="both"/>
              <w:rPr>
                <w:b/>
                <w:sz w:val="22"/>
                <w:szCs w:val="22"/>
              </w:rPr>
            </w:pPr>
            <w:r w:rsidRPr="00B42F50">
              <w:rPr>
                <w:b/>
                <w:sz w:val="22"/>
                <w:szCs w:val="22"/>
              </w:rPr>
              <w:t>LKF</w:t>
            </w:r>
          </w:p>
        </w:tc>
        <w:tc>
          <w:tcPr>
            <w:tcW w:w="5494" w:type="dxa"/>
          </w:tcPr>
          <w:p w14:paraId="6FFFA5F3" w14:textId="67C1A263" w:rsidR="00131848" w:rsidRPr="00B42F50" w:rsidRDefault="006B0741" w:rsidP="00D31902">
            <w:pPr>
              <w:numPr>
                <w:ilvl w:val="1"/>
                <w:numId w:val="6"/>
              </w:numPr>
              <w:jc w:val="both"/>
              <w:rPr>
                <w:sz w:val="22"/>
                <w:szCs w:val="22"/>
              </w:rPr>
            </w:pPr>
            <w:r w:rsidRPr="00863FB3">
              <w:rPr>
                <w:sz w:val="22"/>
                <w:szCs w:val="22"/>
              </w:rPr>
              <w:t>2.2.</w:t>
            </w:r>
            <w:r w:rsidRPr="00B42F50">
              <w:rPr>
                <w:sz w:val="22"/>
                <w:szCs w:val="22"/>
              </w:rPr>
              <w:t xml:space="preserve"> </w:t>
            </w:r>
            <w:proofErr w:type="spellStart"/>
            <w:r w:rsidR="00131848" w:rsidRPr="00B42F50">
              <w:rPr>
                <w:sz w:val="22"/>
                <w:szCs w:val="22"/>
              </w:rPr>
              <w:t>LKindlS</w:t>
            </w:r>
            <w:proofErr w:type="spellEnd"/>
            <w:r w:rsidR="00131848" w:rsidRPr="00B42F50">
              <w:rPr>
                <w:sz w:val="22"/>
                <w:szCs w:val="22"/>
              </w:rPr>
              <w:t xml:space="preserve"> § 71</w:t>
            </w:r>
            <w:r w:rsidR="00131848" w:rsidRPr="00B42F50">
              <w:rPr>
                <w:sz w:val="22"/>
                <w:szCs w:val="22"/>
                <w:vertAlign w:val="superscript"/>
              </w:rPr>
              <w:t>4</w:t>
            </w:r>
            <w:r w:rsidR="00131848" w:rsidRPr="00B42F50">
              <w:rPr>
                <w:sz w:val="22"/>
                <w:szCs w:val="22"/>
              </w:rPr>
              <w:t xml:space="preserve"> lõige 2 puhul jääb arusaamatuks, mis selle lõike viimase lause sisu ja millist olukorda täpsemalt silmas on peetud? Näiteks kui kohustuste täitmiseks ülevõetud varadest ei piisa kohustuste täitmiseks, kuidas tuleks seda tõlgendada koosmõjus lõikega 6? </w:t>
            </w:r>
          </w:p>
          <w:p w14:paraId="3D8E3CC2" w14:textId="77777777" w:rsidR="00131848" w:rsidRPr="00B42F50" w:rsidRDefault="00131848" w:rsidP="00D31902">
            <w:pPr>
              <w:numPr>
                <w:ilvl w:val="1"/>
                <w:numId w:val="6"/>
              </w:numPr>
              <w:jc w:val="both"/>
              <w:rPr>
                <w:sz w:val="22"/>
                <w:szCs w:val="22"/>
              </w:rPr>
            </w:pPr>
          </w:p>
          <w:p w14:paraId="08E19552" w14:textId="14BDC475" w:rsidR="00A609CA" w:rsidRPr="00B42F50" w:rsidRDefault="00131848" w:rsidP="00D31902">
            <w:pPr>
              <w:jc w:val="both"/>
              <w:rPr>
                <w:sz w:val="22"/>
                <w:szCs w:val="22"/>
              </w:rPr>
            </w:pPr>
            <w:r w:rsidRPr="00B42F50">
              <w:rPr>
                <w:sz w:val="22"/>
                <w:szCs w:val="22"/>
              </w:rPr>
              <w:t xml:space="preserve">Lg 2 esimest lauset tuleks täpsustada, et LKF ei võta üle </w:t>
            </w:r>
            <w:proofErr w:type="spellStart"/>
            <w:r w:rsidRPr="00B42F50">
              <w:rPr>
                <w:sz w:val="22"/>
                <w:szCs w:val="22"/>
              </w:rPr>
              <w:t>LKindlS</w:t>
            </w:r>
            <w:proofErr w:type="spellEnd"/>
            <w:r w:rsidRPr="00B42F50">
              <w:rPr>
                <w:sz w:val="22"/>
                <w:szCs w:val="22"/>
              </w:rPr>
              <w:t xml:space="preserve"> § 36 lõikes 2 sätestatud kohustust. Teeme ettepaneku sõnastada: „</w:t>
            </w:r>
            <w:r w:rsidRPr="00B42F50">
              <w:rPr>
                <w:i/>
                <w:iCs/>
                <w:sz w:val="22"/>
                <w:szCs w:val="22"/>
              </w:rPr>
              <w:t xml:space="preserve">Fondile võib ühe või mitme Eestis väljastatud tegevusloga tegutseva kindlustusandja erirežiimi, sealhulgas kindlustusandja kriisilahenduse, korral üle </w:t>
            </w:r>
            <w:r w:rsidRPr="00500571">
              <w:rPr>
                <w:i/>
                <w:iCs/>
                <w:sz w:val="22"/>
                <w:szCs w:val="22"/>
              </w:rPr>
              <w:t xml:space="preserve">anda liikluskindlustuse kindlustusportfelli ning sellele vastavad õigused ja kohustised, välja arvatud käesoleva seaduse § 36 lõikes 2 sätestatud kahju hüvitamise kohustus. </w:t>
            </w:r>
            <w:r w:rsidRPr="00500571">
              <w:rPr>
                <w:sz w:val="22"/>
                <w:szCs w:val="22"/>
              </w:rPr>
              <w:t>Kõnealusel juhul hüvitab LKF kahju garantiifondina kindlustamata sõiduki sätete alusel. Mõlemal juhul tekib tagasinõude õigus kindlustuskohustusega isiku vastu.</w:t>
            </w:r>
          </w:p>
        </w:tc>
        <w:tc>
          <w:tcPr>
            <w:tcW w:w="1182" w:type="dxa"/>
          </w:tcPr>
          <w:p w14:paraId="512A26BB" w14:textId="7EFF2690" w:rsidR="00A609CA" w:rsidRPr="00B42F50" w:rsidRDefault="6A25E8D3" w:rsidP="00D31902">
            <w:pPr>
              <w:jc w:val="both"/>
              <w:rPr>
                <w:sz w:val="22"/>
                <w:szCs w:val="22"/>
              </w:rPr>
            </w:pPr>
            <w:r w:rsidRPr="49FC7573">
              <w:rPr>
                <w:sz w:val="22"/>
                <w:szCs w:val="22"/>
              </w:rPr>
              <w:t>Arvestatud</w:t>
            </w:r>
          </w:p>
        </w:tc>
        <w:tc>
          <w:tcPr>
            <w:tcW w:w="3248" w:type="dxa"/>
          </w:tcPr>
          <w:p w14:paraId="192CF25B" w14:textId="5A8E5206" w:rsidR="00765793" w:rsidRDefault="6A25E8D3" w:rsidP="105DAA89">
            <w:pPr>
              <w:jc w:val="both"/>
              <w:rPr>
                <w:sz w:val="22"/>
                <w:szCs w:val="22"/>
              </w:rPr>
            </w:pPr>
            <w:proofErr w:type="spellStart"/>
            <w:r w:rsidRPr="105DAA89">
              <w:rPr>
                <w:sz w:val="22"/>
                <w:szCs w:val="22"/>
              </w:rPr>
              <w:t>LKindlS</w:t>
            </w:r>
            <w:proofErr w:type="spellEnd"/>
            <w:r w:rsidRPr="105DAA89">
              <w:rPr>
                <w:sz w:val="22"/>
                <w:szCs w:val="22"/>
              </w:rPr>
              <w:t xml:space="preserve"> </w:t>
            </w:r>
            <w:r w:rsidRPr="5093960B">
              <w:rPr>
                <w:sz w:val="22"/>
                <w:szCs w:val="22"/>
              </w:rPr>
              <w:t xml:space="preserve">§ </w:t>
            </w:r>
            <w:r w:rsidR="56F68B7E" w:rsidRPr="5093960B">
              <w:rPr>
                <w:sz w:val="22"/>
                <w:szCs w:val="22"/>
              </w:rPr>
              <w:t>71</w:t>
            </w:r>
            <w:r w:rsidR="56F68B7E" w:rsidRPr="5093960B">
              <w:rPr>
                <w:sz w:val="22"/>
                <w:szCs w:val="22"/>
                <w:vertAlign w:val="superscript"/>
              </w:rPr>
              <w:t>4</w:t>
            </w:r>
            <w:r w:rsidR="56F68B7E" w:rsidRPr="5093960B">
              <w:rPr>
                <w:sz w:val="22"/>
                <w:szCs w:val="22"/>
              </w:rPr>
              <w:t xml:space="preserve"> </w:t>
            </w:r>
            <w:r w:rsidR="56F68B7E" w:rsidRPr="401C6672">
              <w:rPr>
                <w:sz w:val="22"/>
                <w:szCs w:val="22"/>
              </w:rPr>
              <w:t>lõige</w:t>
            </w:r>
            <w:r w:rsidR="68C7541C" w:rsidRPr="401C6672">
              <w:rPr>
                <w:sz w:val="22"/>
                <w:szCs w:val="22"/>
              </w:rPr>
              <w:t>t</w:t>
            </w:r>
            <w:r w:rsidR="56F68B7E" w:rsidRPr="5093960B">
              <w:rPr>
                <w:sz w:val="22"/>
                <w:szCs w:val="22"/>
              </w:rPr>
              <w:t xml:space="preserve"> 3 </w:t>
            </w:r>
            <w:r w:rsidR="56F68B7E" w:rsidRPr="4FD1BC84">
              <w:rPr>
                <w:sz w:val="22"/>
                <w:szCs w:val="22"/>
              </w:rPr>
              <w:t xml:space="preserve">on </w:t>
            </w:r>
            <w:r w:rsidR="56F68B7E" w:rsidRPr="105DAA89">
              <w:rPr>
                <w:sz w:val="22"/>
                <w:szCs w:val="22"/>
              </w:rPr>
              <w:t>täiendatud.</w:t>
            </w:r>
          </w:p>
          <w:p w14:paraId="749E4204" w14:textId="77777777" w:rsidR="00500571" w:rsidRDefault="00500571" w:rsidP="105DAA89">
            <w:pPr>
              <w:jc w:val="both"/>
              <w:rPr>
                <w:sz w:val="22"/>
                <w:szCs w:val="22"/>
              </w:rPr>
            </w:pPr>
          </w:p>
          <w:p w14:paraId="591CB9C3" w14:textId="4AF64C2B" w:rsidR="00765793" w:rsidRPr="00B42F50" w:rsidRDefault="00500571" w:rsidP="00D729F7">
            <w:pPr>
              <w:jc w:val="both"/>
              <w:rPr>
                <w:sz w:val="22"/>
                <w:szCs w:val="22"/>
              </w:rPr>
            </w:pPr>
            <w:r w:rsidRPr="00500571">
              <w:rPr>
                <w:sz w:val="22"/>
                <w:szCs w:val="22"/>
              </w:rPr>
              <w:t xml:space="preserve">Lõike 2 viimase lausega sätestatakse põhimõte, et </w:t>
            </w:r>
            <w:r w:rsidR="00D729F7">
              <w:rPr>
                <w:sz w:val="22"/>
                <w:szCs w:val="22"/>
              </w:rPr>
              <w:t>fondile</w:t>
            </w:r>
            <w:r w:rsidRPr="00500571">
              <w:rPr>
                <w:sz w:val="22"/>
                <w:szCs w:val="22"/>
              </w:rPr>
              <w:t xml:space="preserve"> võib kriisilahenduses olevalt kindlustusandjalt kindlustusportfelli üle anda üksnes juhul, kui üleantavate kohustuste hinnanguline koguväärtus ei ületa üleantavate õiguste ja vara koguväärtust ülevõtmise hetkel. Tegemist on ülevõtmise otsustamise hetkel kohaldatava tasakaalunõudega, mis ei välista olukorda, kus hiljem võib selguda, et üleantud varast ei piisa kõigi kohustuste täitmiseks. Sellisel juhul kohaldatakse lõiget 6, mille kohaselt on fondil õigus kasutada kohustuste täitmiseks omavahendeid, mis on kogutud kindlustusandjate maksejõuetuse riski katteks.</w:t>
            </w:r>
          </w:p>
        </w:tc>
      </w:tr>
      <w:tr w:rsidR="00A609CA" w:rsidRPr="00B42F50" w14:paraId="7EB6A247" w14:textId="77777777" w:rsidTr="007B1180">
        <w:tc>
          <w:tcPr>
            <w:tcW w:w="737" w:type="dxa"/>
          </w:tcPr>
          <w:p w14:paraId="4A69E8B0" w14:textId="1958BC47" w:rsidR="00A41957" w:rsidRDefault="00790926" w:rsidP="00D31902">
            <w:pPr>
              <w:jc w:val="both"/>
              <w:rPr>
                <w:b/>
                <w:sz w:val="22"/>
                <w:szCs w:val="22"/>
              </w:rPr>
            </w:pPr>
            <w:r>
              <w:rPr>
                <w:b/>
                <w:sz w:val="22"/>
                <w:szCs w:val="22"/>
              </w:rPr>
              <w:t>3</w:t>
            </w:r>
            <w:r w:rsidR="00A41957">
              <w:rPr>
                <w:b/>
                <w:sz w:val="22"/>
                <w:szCs w:val="22"/>
              </w:rPr>
              <w:t>8.</w:t>
            </w:r>
          </w:p>
          <w:p w14:paraId="78D015BA" w14:textId="6651923D" w:rsidR="00A609CA" w:rsidRPr="00B42F50" w:rsidRDefault="00C008AC" w:rsidP="00D31902">
            <w:pPr>
              <w:jc w:val="both"/>
              <w:rPr>
                <w:b/>
                <w:sz w:val="22"/>
                <w:szCs w:val="22"/>
              </w:rPr>
            </w:pPr>
            <w:r w:rsidRPr="00B42F50">
              <w:rPr>
                <w:b/>
                <w:sz w:val="22"/>
                <w:szCs w:val="22"/>
              </w:rPr>
              <w:t>LKF</w:t>
            </w:r>
          </w:p>
        </w:tc>
        <w:tc>
          <w:tcPr>
            <w:tcW w:w="5494" w:type="dxa"/>
          </w:tcPr>
          <w:p w14:paraId="61DE8411" w14:textId="5127189C" w:rsidR="00A609CA" w:rsidRPr="00070736" w:rsidRDefault="009C1AE7" w:rsidP="00D31902">
            <w:pPr>
              <w:numPr>
                <w:ilvl w:val="1"/>
                <w:numId w:val="7"/>
              </w:numPr>
              <w:jc w:val="both"/>
              <w:rPr>
                <w:sz w:val="22"/>
                <w:szCs w:val="22"/>
              </w:rPr>
            </w:pPr>
            <w:r w:rsidRPr="00070736">
              <w:rPr>
                <w:sz w:val="22"/>
                <w:szCs w:val="22"/>
              </w:rPr>
              <w:t xml:space="preserve">2.3. </w:t>
            </w:r>
            <w:proofErr w:type="spellStart"/>
            <w:r w:rsidRPr="00070736">
              <w:rPr>
                <w:sz w:val="22"/>
                <w:szCs w:val="22"/>
              </w:rPr>
              <w:t>LKindlS</w:t>
            </w:r>
            <w:proofErr w:type="spellEnd"/>
            <w:r w:rsidRPr="00070736">
              <w:rPr>
                <w:sz w:val="22"/>
                <w:szCs w:val="22"/>
              </w:rPr>
              <w:t xml:space="preserve"> § 71</w:t>
            </w:r>
            <w:r w:rsidRPr="00070736">
              <w:rPr>
                <w:sz w:val="22"/>
                <w:szCs w:val="22"/>
                <w:vertAlign w:val="superscript"/>
              </w:rPr>
              <w:t>4</w:t>
            </w:r>
            <w:r w:rsidRPr="00070736">
              <w:rPr>
                <w:sz w:val="22"/>
                <w:szCs w:val="22"/>
              </w:rPr>
              <w:t xml:space="preserve"> lõiget 4 tuleks täpsustada. Sättest jääb mulje, justkui poleks fondil lubatud üldse sõlmida uusi ega muuta kehtivaid kindlustuslepinguid, nt tegutseb fond ka piirikindlustuse kindlustusandjana, sõlmida kindlustusvõtjana nt edasikindlustuse lepinguid. Teeme ettepaneku sõnastada: „</w:t>
            </w:r>
            <w:r w:rsidRPr="00070736">
              <w:rPr>
                <w:i/>
                <w:iCs/>
                <w:sz w:val="22"/>
                <w:szCs w:val="22"/>
              </w:rPr>
              <w:t xml:space="preserve">Fondil ei ole lubatud kindlustusandjana sõlmida uusi ega muuta kehtivaid kindlustuslepinguid, välja arvatud käesoleva seaduse §-s 13 lõikes 3 sätestatud juhul.“ </w:t>
            </w:r>
          </w:p>
        </w:tc>
        <w:tc>
          <w:tcPr>
            <w:tcW w:w="1182" w:type="dxa"/>
          </w:tcPr>
          <w:p w14:paraId="307D77FD" w14:textId="37C441F7" w:rsidR="00A609CA" w:rsidRPr="00B42F50" w:rsidRDefault="00FA0B44" w:rsidP="00D31902">
            <w:pPr>
              <w:jc w:val="both"/>
              <w:rPr>
                <w:sz w:val="22"/>
                <w:szCs w:val="22"/>
              </w:rPr>
            </w:pPr>
            <w:r w:rsidRPr="00B42F50">
              <w:rPr>
                <w:sz w:val="22"/>
                <w:szCs w:val="22"/>
              </w:rPr>
              <w:t>Arvestatud</w:t>
            </w:r>
          </w:p>
        </w:tc>
        <w:tc>
          <w:tcPr>
            <w:tcW w:w="3248" w:type="dxa"/>
          </w:tcPr>
          <w:p w14:paraId="5870E965" w14:textId="77777777" w:rsidR="00A609CA" w:rsidRPr="00B42F50" w:rsidRDefault="00A609CA" w:rsidP="00D31902">
            <w:pPr>
              <w:jc w:val="both"/>
              <w:rPr>
                <w:sz w:val="22"/>
                <w:szCs w:val="22"/>
              </w:rPr>
            </w:pPr>
          </w:p>
        </w:tc>
      </w:tr>
      <w:tr w:rsidR="00A609CA" w:rsidRPr="00B42F50" w14:paraId="5A012407" w14:textId="77777777" w:rsidTr="007B1180">
        <w:tc>
          <w:tcPr>
            <w:tcW w:w="737" w:type="dxa"/>
          </w:tcPr>
          <w:p w14:paraId="5498B3F9" w14:textId="19AB0072" w:rsidR="00A41957" w:rsidRDefault="00790926" w:rsidP="00D31902">
            <w:pPr>
              <w:jc w:val="both"/>
              <w:rPr>
                <w:b/>
                <w:sz w:val="22"/>
                <w:szCs w:val="22"/>
              </w:rPr>
            </w:pPr>
            <w:r>
              <w:rPr>
                <w:b/>
                <w:sz w:val="22"/>
                <w:szCs w:val="22"/>
              </w:rPr>
              <w:t>3</w:t>
            </w:r>
            <w:r w:rsidR="00A41957">
              <w:rPr>
                <w:b/>
                <w:sz w:val="22"/>
                <w:szCs w:val="22"/>
              </w:rPr>
              <w:t>9.</w:t>
            </w:r>
          </w:p>
          <w:p w14:paraId="29A6F94C" w14:textId="6C900CE3" w:rsidR="00A609CA" w:rsidRPr="00B42F50" w:rsidRDefault="00C008AC" w:rsidP="00D31902">
            <w:pPr>
              <w:jc w:val="both"/>
              <w:rPr>
                <w:b/>
                <w:sz w:val="22"/>
                <w:szCs w:val="22"/>
              </w:rPr>
            </w:pPr>
            <w:r w:rsidRPr="00B42F50">
              <w:rPr>
                <w:b/>
                <w:sz w:val="22"/>
                <w:szCs w:val="22"/>
              </w:rPr>
              <w:t>LKF</w:t>
            </w:r>
          </w:p>
        </w:tc>
        <w:tc>
          <w:tcPr>
            <w:tcW w:w="5494" w:type="dxa"/>
          </w:tcPr>
          <w:p w14:paraId="72E53DC4" w14:textId="60BDD7E0" w:rsidR="00310923" w:rsidRPr="00070736" w:rsidRDefault="00310923" w:rsidP="00D31902">
            <w:pPr>
              <w:jc w:val="both"/>
              <w:rPr>
                <w:sz w:val="22"/>
                <w:szCs w:val="22"/>
              </w:rPr>
            </w:pPr>
            <w:r w:rsidRPr="00070736">
              <w:rPr>
                <w:sz w:val="22"/>
                <w:szCs w:val="22"/>
              </w:rPr>
              <w:t xml:space="preserve">2.4. </w:t>
            </w:r>
            <w:proofErr w:type="spellStart"/>
            <w:r w:rsidRPr="00070736">
              <w:rPr>
                <w:sz w:val="22"/>
                <w:szCs w:val="22"/>
              </w:rPr>
              <w:t>LKindlS</w:t>
            </w:r>
            <w:proofErr w:type="spellEnd"/>
            <w:r w:rsidRPr="00070736">
              <w:rPr>
                <w:sz w:val="22"/>
                <w:szCs w:val="22"/>
              </w:rPr>
              <w:t xml:space="preserve"> 71</w:t>
            </w:r>
            <w:r w:rsidRPr="00070736">
              <w:rPr>
                <w:sz w:val="22"/>
                <w:szCs w:val="22"/>
                <w:vertAlign w:val="superscript"/>
              </w:rPr>
              <w:t>4</w:t>
            </w:r>
            <w:r w:rsidRPr="00070736">
              <w:rPr>
                <w:sz w:val="22"/>
                <w:szCs w:val="22"/>
              </w:rPr>
              <w:t xml:space="preserve"> lõige 5 sätestab keelu maksta töötasu. Kui kohustusi hinnatakse, siis selle raames hinnatakse käsitluskulusid. Kas sellega on arvestatud, sest käsitluskulude sees on üldjuhul ka kahjukäsitlejate töötasu? </w:t>
            </w:r>
          </w:p>
          <w:p w14:paraId="05B69C59" w14:textId="77777777" w:rsidR="00A609CA" w:rsidRPr="00070736" w:rsidRDefault="00A609CA" w:rsidP="00D31902">
            <w:pPr>
              <w:jc w:val="both"/>
              <w:rPr>
                <w:sz w:val="22"/>
                <w:szCs w:val="22"/>
              </w:rPr>
            </w:pPr>
          </w:p>
        </w:tc>
        <w:tc>
          <w:tcPr>
            <w:tcW w:w="1182" w:type="dxa"/>
          </w:tcPr>
          <w:p w14:paraId="4998BD9A" w14:textId="473FA6F6" w:rsidR="00A609CA" w:rsidRPr="00B42F50" w:rsidRDefault="00E25654" w:rsidP="00D31902">
            <w:pPr>
              <w:jc w:val="both"/>
              <w:rPr>
                <w:sz w:val="22"/>
                <w:szCs w:val="22"/>
              </w:rPr>
            </w:pPr>
            <w:r w:rsidRPr="00B42F50">
              <w:rPr>
                <w:sz w:val="22"/>
                <w:szCs w:val="22"/>
              </w:rPr>
              <w:t>Arvestatud</w:t>
            </w:r>
          </w:p>
        </w:tc>
        <w:tc>
          <w:tcPr>
            <w:tcW w:w="3248" w:type="dxa"/>
          </w:tcPr>
          <w:p w14:paraId="09A7C73A" w14:textId="6DF683A5" w:rsidR="0004354E" w:rsidRPr="00B42F50" w:rsidRDefault="005C599F" w:rsidP="00D31902">
            <w:pPr>
              <w:jc w:val="both"/>
              <w:rPr>
                <w:sz w:val="22"/>
                <w:szCs w:val="22"/>
              </w:rPr>
            </w:pPr>
            <w:r w:rsidRPr="00B42F50">
              <w:rPr>
                <w:sz w:val="22"/>
                <w:szCs w:val="22"/>
              </w:rPr>
              <w:t>Eelnõu sõnastuses on täpsustatud, et mõeldud on fondi juhtorgani</w:t>
            </w:r>
            <w:r w:rsidR="0071178A" w:rsidRPr="00B42F50">
              <w:rPr>
                <w:sz w:val="22"/>
                <w:szCs w:val="22"/>
              </w:rPr>
              <w:t xml:space="preserve"> liikmetele</w:t>
            </w:r>
            <w:r w:rsidRPr="00B42F50">
              <w:rPr>
                <w:sz w:val="22"/>
                <w:szCs w:val="22"/>
              </w:rPr>
              <w:t xml:space="preserve"> tasu maksmist. </w:t>
            </w:r>
          </w:p>
          <w:p w14:paraId="5C19BBC8" w14:textId="77777777" w:rsidR="000A7DC3" w:rsidRPr="00B42F50" w:rsidRDefault="000A7DC3" w:rsidP="00D31902">
            <w:pPr>
              <w:jc w:val="both"/>
              <w:rPr>
                <w:sz w:val="22"/>
                <w:szCs w:val="22"/>
              </w:rPr>
            </w:pPr>
          </w:p>
          <w:tbl>
            <w:tblPr>
              <w:tblW w:w="5000" w:type="pct"/>
              <w:shd w:val="clear" w:color="auto" w:fill="FFFFFF"/>
              <w:tblCellMar>
                <w:left w:w="0" w:type="dxa"/>
                <w:right w:w="0" w:type="dxa"/>
              </w:tblCellMar>
              <w:tblLook w:val="04A0" w:firstRow="1" w:lastRow="0" w:firstColumn="1" w:lastColumn="0" w:noHBand="0" w:noVBand="1"/>
            </w:tblPr>
            <w:tblGrid>
              <w:gridCol w:w="3026"/>
              <w:gridCol w:w="6"/>
            </w:tblGrid>
            <w:tr w:rsidR="00C572C5" w:rsidRPr="00B42F50" w14:paraId="29E9E29C" w14:textId="77777777" w:rsidTr="00C572C5">
              <w:tc>
                <w:tcPr>
                  <w:tcW w:w="0" w:type="auto"/>
                  <w:shd w:val="clear" w:color="auto" w:fill="FFFFFF"/>
                </w:tcPr>
                <w:p w14:paraId="025162BE" w14:textId="6014B5D2" w:rsidR="0000581D" w:rsidRPr="00B42F50" w:rsidRDefault="003A61A6" w:rsidP="00D31902">
                  <w:pPr>
                    <w:pStyle w:val="oj-normal"/>
                    <w:spacing w:before="0" w:beforeAutospacing="0" w:after="0" w:afterAutospacing="0"/>
                    <w:jc w:val="both"/>
                    <w:rPr>
                      <w:sz w:val="22"/>
                      <w:szCs w:val="22"/>
                      <w:u w:val="single"/>
                    </w:rPr>
                  </w:pPr>
                  <w:r w:rsidRPr="00B42F50">
                    <w:rPr>
                      <w:sz w:val="22"/>
                      <w:szCs w:val="22"/>
                    </w:rPr>
                    <w:t xml:space="preserve">IRRD direktiivi artikli 34 </w:t>
                  </w:r>
                  <w:r w:rsidR="00035C93" w:rsidRPr="00B42F50">
                    <w:rPr>
                      <w:sz w:val="22"/>
                      <w:szCs w:val="22"/>
                    </w:rPr>
                    <w:t>lõike 2 punkti b kohaselt peab täidetud olema mh tingimus</w:t>
                  </w:r>
                  <w:r w:rsidR="000A7DC3" w:rsidRPr="00B42F50">
                    <w:rPr>
                      <w:sz w:val="22"/>
                      <w:szCs w:val="22"/>
                    </w:rPr>
                    <w:t>, et</w:t>
                  </w:r>
                  <w:r w:rsidR="00DD79A4" w:rsidRPr="00B42F50">
                    <w:rPr>
                      <w:sz w:val="22"/>
                      <w:szCs w:val="22"/>
                    </w:rPr>
                    <w:t xml:space="preserve"> kriisilahendusasutus kiidab heaks haldus-, juht- või järelevalveorgani liikmete tasustamise ja määrab kindlaks </w:t>
                  </w:r>
                  <w:r w:rsidR="00DD79A4" w:rsidRPr="00B42F50">
                    <w:rPr>
                      <w:sz w:val="22"/>
                      <w:szCs w:val="22"/>
                    </w:rPr>
                    <w:lastRenderedPageBreak/>
                    <w:t xml:space="preserve">nende ülesanded. </w:t>
                  </w:r>
                  <w:r w:rsidR="006928C7" w:rsidRPr="00B42F50">
                    <w:rPr>
                      <w:sz w:val="22"/>
                      <w:szCs w:val="22"/>
                    </w:rPr>
                    <w:t xml:space="preserve">Seda </w:t>
                  </w:r>
                  <w:r w:rsidR="00C145AF" w:rsidRPr="00B42F50">
                    <w:rPr>
                      <w:sz w:val="22"/>
                      <w:szCs w:val="22"/>
                    </w:rPr>
                    <w:t xml:space="preserve">tingimust </w:t>
                  </w:r>
                  <w:r w:rsidR="006928C7" w:rsidRPr="00B42F50">
                    <w:rPr>
                      <w:sz w:val="22"/>
                      <w:szCs w:val="22"/>
                    </w:rPr>
                    <w:t xml:space="preserve">ei kohaldata </w:t>
                  </w:r>
                  <w:r w:rsidR="005F45A6" w:rsidRPr="00B42F50">
                    <w:rPr>
                      <w:sz w:val="22"/>
                      <w:szCs w:val="22"/>
                    </w:rPr>
                    <w:t xml:space="preserve">kindlustuse tagamise skeemi suhtes, </w:t>
                  </w:r>
                  <w:r w:rsidR="000A7DC3" w:rsidRPr="00B42F50">
                    <w:rPr>
                      <w:sz w:val="22"/>
                      <w:szCs w:val="22"/>
                    </w:rPr>
                    <w:t xml:space="preserve"> </w:t>
                  </w:r>
                  <w:r w:rsidR="005F45A6" w:rsidRPr="00B42F50">
                    <w:rPr>
                      <w:sz w:val="22"/>
                      <w:szCs w:val="22"/>
                    </w:rPr>
                    <w:t xml:space="preserve">kellele on üle antud sildettevõtja ülesanded ja õigused, kui mis tahes üleantud vara, õigused, kohustised või omandiõigused on eraldatud kindlustuse tagamise skeemi muudest varadest, õigustest ja kohustistest ning </w:t>
                  </w:r>
                  <w:r w:rsidR="005F45A6" w:rsidRPr="00B42F50">
                    <w:rPr>
                      <w:sz w:val="22"/>
                      <w:szCs w:val="22"/>
                      <w:u w:val="single"/>
                    </w:rPr>
                    <w:t>üleantud vara ei kasutata töötasu maksmiseks</w:t>
                  </w:r>
                  <w:r w:rsidR="004107CC" w:rsidRPr="00B42F50">
                    <w:rPr>
                      <w:sz w:val="22"/>
                      <w:szCs w:val="22"/>
                    </w:rPr>
                    <w:t>.</w:t>
                  </w:r>
                  <w:r w:rsidR="004107CC" w:rsidRPr="00B42F50">
                    <w:rPr>
                      <w:sz w:val="22"/>
                      <w:szCs w:val="22"/>
                      <w:u w:val="single"/>
                    </w:rPr>
                    <w:t xml:space="preserve"> </w:t>
                  </w:r>
                </w:p>
                <w:p w14:paraId="186D2A3E" w14:textId="77777777" w:rsidR="00D2377E" w:rsidRPr="00B42F50" w:rsidRDefault="00D2377E" w:rsidP="00D31902">
                  <w:pPr>
                    <w:pStyle w:val="oj-normal"/>
                    <w:spacing w:before="0" w:beforeAutospacing="0" w:after="0" w:afterAutospacing="0"/>
                    <w:jc w:val="both"/>
                    <w:rPr>
                      <w:sz w:val="22"/>
                      <w:szCs w:val="22"/>
                    </w:rPr>
                  </w:pPr>
                </w:p>
                <w:p w14:paraId="5B9A0383" w14:textId="27035803" w:rsidR="00D2377E" w:rsidRPr="00B42F50" w:rsidRDefault="00D2377E" w:rsidP="00D31902">
                  <w:pPr>
                    <w:pStyle w:val="oj-normal"/>
                    <w:spacing w:before="0" w:beforeAutospacing="0" w:after="0" w:afterAutospacing="0"/>
                    <w:jc w:val="both"/>
                    <w:rPr>
                      <w:sz w:val="22"/>
                      <w:szCs w:val="22"/>
                    </w:rPr>
                  </w:pPr>
                  <w:r w:rsidRPr="00B42F50">
                    <w:rPr>
                      <w:sz w:val="22"/>
                      <w:szCs w:val="22"/>
                    </w:rPr>
                    <w:t xml:space="preserve">Seega võiks järeldada, et </w:t>
                  </w:r>
                  <w:r w:rsidR="00AA0D19" w:rsidRPr="00B42F50">
                    <w:rPr>
                      <w:sz w:val="22"/>
                      <w:szCs w:val="22"/>
                    </w:rPr>
                    <w:t>viimases lauses on mõeldud juhtidele tasu maksmis</w:t>
                  </w:r>
                  <w:r w:rsidR="00D54435" w:rsidRPr="00B42F50">
                    <w:rPr>
                      <w:sz w:val="22"/>
                      <w:szCs w:val="22"/>
                    </w:rPr>
                    <w:t>e keeldu.</w:t>
                  </w:r>
                </w:p>
              </w:tc>
              <w:tc>
                <w:tcPr>
                  <w:tcW w:w="0" w:type="auto"/>
                  <w:shd w:val="clear" w:color="auto" w:fill="FFFFFF"/>
                </w:tcPr>
                <w:p w14:paraId="3E85B126" w14:textId="77777777" w:rsidR="0000581D" w:rsidRPr="00B42F50" w:rsidRDefault="0000581D" w:rsidP="00D31902">
                  <w:pPr>
                    <w:pStyle w:val="oj-normal"/>
                    <w:spacing w:before="0" w:beforeAutospacing="0" w:after="0" w:afterAutospacing="0"/>
                    <w:jc w:val="both"/>
                    <w:rPr>
                      <w:sz w:val="22"/>
                      <w:szCs w:val="22"/>
                    </w:rPr>
                  </w:pPr>
                </w:p>
              </w:tc>
            </w:tr>
          </w:tbl>
          <w:p w14:paraId="03AE8A6D" w14:textId="0D5DE8F9" w:rsidR="0000581D" w:rsidRPr="00B42F50" w:rsidRDefault="0000581D" w:rsidP="00D31902">
            <w:pPr>
              <w:jc w:val="both"/>
              <w:rPr>
                <w:i/>
                <w:iCs/>
                <w:sz w:val="22"/>
                <w:szCs w:val="22"/>
              </w:rPr>
            </w:pPr>
          </w:p>
        </w:tc>
      </w:tr>
    </w:tbl>
    <w:p w14:paraId="3E5AAE32" w14:textId="77777777" w:rsidR="00814D6F" w:rsidRPr="00B42F50" w:rsidRDefault="00814D6F" w:rsidP="00D31902">
      <w:pPr>
        <w:rPr>
          <w:sz w:val="22"/>
          <w:szCs w:val="22"/>
        </w:rPr>
      </w:pPr>
    </w:p>
    <w:tbl>
      <w:tblPr>
        <w:tblW w:w="10680"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0"/>
      </w:tblGrid>
      <w:tr w:rsidR="00C6527F" w:rsidRPr="00B42F50" w14:paraId="5FDE942D" w14:textId="77777777">
        <w:tc>
          <w:tcPr>
            <w:tcW w:w="10680" w:type="dxa"/>
            <w:shd w:val="clear" w:color="auto" w:fill="D9D9D9" w:themeFill="background1" w:themeFillShade="D9"/>
            <w:vAlign w:val="center"/>
          </w:tcPr>
          <w:p w14:paraId="4FB7F92A" w14:textId="7409A2F7" w:rsidR="00C6527F" w:rsidRPr="00B42F50" w:rsidRDefault="00C6527F" w:rsidP="00D31902">
            <w:pPr>
              <w:pStyle w:val="Pealkiri1"/>
              <w:spacing w:before="0" w:after="0" w:line="240" w:lineRule="auto"/>
              <w:jc w:val="both"/>
              <w:rPr>
                <w:rFonts w:ascii="Times New Roman" w:hAnsi="Times New Roman"/>
                <w:b/>
                <w:color w:val="auto"/>
                <w:sz w:val="22"/>
                <w:szCs w:val="22"/>
                <w:lang w:eastAsia="fr-FR"/>
              </w:rPr>
            </w:pPr>
            <w:bookmarkStart w:id="4" w:name="_Ref222303708"/>
            <w:r w:rsidRPr="00B42F50">
              <w:rPr>
                <w:rFonts w:ascii="Times New Roman" w:hAnsi="Times New Roman"/>
                <w:b/>
                <w:color w:val="auto"/>
                <w:sz w:val="22"/>
                <w:szCs w:val="22"/>
                <w:lang w:eastAsia="fr-FR"/>
              </w:rPr>
              <w:t>AUDIITORKOGU</w:t>
            </w:r>
            <w:bookmarkEnd w:id="4"/>
          </w:p>
        </w:tc>
      </w:tr>
    </w:tbl>
    <w:tbl>
      <w:tblPr>
        <w:tblStyle w:val="Kontuurtabel"/>
        <w:tblW w:w="10661" w:type="dxa"/>
        <w:tblInd w:w="-743" w:type="dxa"/>
        <w:tblLook w:val="00A0" w:firstRow="1" w:lastRow="0" w:firstColumn="1" w:lastColumn="0" w:noHBand="0" w:noVBand="0"/>
      </w:tblPr>
      <w:tblGrid>
        <w:gridCol w:w="791"/>
        <w:gridCol w:w="5517"/>
        <w:gridCol w:w="1182"/>
        <w:gridCol w:w="3171"/>
      </w:tblGrid>
      <w:tr w:rsidR="00EF26B0" w:rsidRPr="00B42F50" w14:paraId="30E16202" w14:textId="77777777" w:rsidTr="00BB3D0C">
        <w:tc>
          <w:tcPr>
            <w:tcW w:w="791" w:type="dxa"/>
          </w:tcPr>
          <w:p w14:paraId="4FF83BB2" w14:textId="46E82504" w:rsidR="003F0CDF" w:rsidRDefault="00790926" w:rsidP="00D31902">
            <w:pPr>
              <w:jc w:val="both"/>
              <w:rPr>
                <w:b/>
                <w:sz w:val="22"/>
                <w:szCs w:val="22"/>
              </w:rPr>
            </w:pPr>
            <w:r>
              <w:rPr>
                <w:b/>
                <w:sz w:val="22"/>
                <w:szCs w:val="22"/>
              </w:rPr>
              <w:t>4</w:t>
            </w:r>
            <w:r w:rsidR="003F0CDF">
              <w:rPr>
                <w:b/>
                <w:sz w:val="22"/>
                <w:szCs w:val="22"/>
              </w:rPr>
              <w:t>0.</w:t>
            </w:r>
          </w:p>
          <w:p w14:paraId="614C5223" w14:textId="5BD08919" w:rsidR="00C6527F" w:rsidRPr="00B42F50" w:rsidRDefault="001A002D" w:rsidP="00D31902">
            <w:pPr>
              <w:jc w:val="both"/>
              <w:rPr>
                <w:b/>
                <w:sz w:val="22"/>
                <w:szCs w:val="22"/>
              </w:rPr>
            </w:pPr>
            <w:r w:rsidRPr="00B42F50">
              <w:rPr>
                <w:b/>
                <w:sz w:val="22"/>
                <w:szCs w:val="22"/>
              </w:rPr>
              <w:t>AudK</w:t>
            </w:r>
          </w:p>
        </w:tc>
        <w:tc>
          <w:tcPr>
            <w:tcW w:w="5617" w:type="dxa"/>
          </w:tcPr>
          <w:p w14:paraId="5C5EAD38" w14:textId="5EA5456A" w:rsidR="00752486" w:rsidRPr="00B42F50" w:rsidRDefault="00752486" w:rsidP="00D31902">
            <w:pPr>
              <w:jc w:val="both"/>
              <w:rPr>
                <w:sz w:val="22"/>
                <w:szCs w:val="22"/>
              </w:rPr>
            </w:pPr>
            <w:r w:rsidRPr="00B42F50">
              <w:rPr>
                <w:sz w:val="22"/>
                <w:szCs w:val="22"/>
              </w:rPr>
              <w:t xml:space="preserve">Audiitortegevust puudutavas osas eristatakse eelnõu kohaselt kahte erinevat töövõttu – raamatupidamise aastaaruande auditit ning solventsuse ja finantsseisundi aruande osana avalikustatud bilansi audiitorkontrolli. </w:t>
            </w:r>
          </w:p>
          <w:p w14:paraId="59386DB2" w14:textId="77777777" w:rsidR="00752486" w:rsidRPr="00B42F50" w:rsidRDefault="00752486" w:rsidP="00D31902">
            <w:pPr>
              <w:jc w:val="both"/>
              <w:rPr>
                <w:sz w:val="22"/>
                <w:szCs w:val="22"/>
              </w:rPr>
            </w:pPr>
          </w:p>
          <w:p w14:paraId="47F80638" w14:textId="372812FD" w:rsidR="00C6527F" w:rsidRPr="00B42F50" w:rsidRDefault="00752486" w:rsidP="00D31902">
            <w:pPr>
              <w:jc w:val="both"/>
              <w:rPr>
                <w:sz w:val="22"/>
                <w:szCs w:val="22"/>
              </w:rPr>
            </w:pPr>
            <w:r w:rsidRPr="00B42F50">
              <w:rPr>
                <w:sz w:val="22"/>
                <w:szCs w:val="22"/>
              </w:rPr>
              <w:t>Selguse mõttes on vajalik lisada KindlTS §-i 124</w:t>
            </w:r>
            <w:r w:rsidRPr="00B42F50">
              <w:rPr>
                <w:sz w:val="22"/>
                <w:szCs w:val="22"/>
                <w:vertAlign w:val="superscript"/>
              </w:rPr>
              <w:t>1</w:t>
            </w:r>
            <w:r w:rsidRPr="00B42F50">
              <w:rPr>
                <w:sz w:val="22"/>
                <w:szCs w:val="22"/>
              </w:rPr>
              <w:t xml:space="preserve"> konkreetne eraldiseisev viide solventsuse ja finantsseisundi aruandes sisalduvale bilansile või siis viide, millistest antud paragrahvis esitatud punktidest täielikult ja ammendavalt vastav bilanss koosneb. Lisaks peab bilansi osas olema tehtud viide konkreetsele bilansi kehtestanud vormile (S.02.01.02) ning asjaolule, et see on leitav komisjoni rakendusmäärusest (EL) 2023/895. Leiame, et otsene viide peab sisalduma aruande seaduses sisu määratlevas õigusnormis, mitte seletuskirjas audiitorkontrolli käsitlevas osas.</w:t>
            </w:r>
          </w:p>
        </w:tc>
        <w:tc>
          <w:tcPr>
            <w:tcW w:w="1044" w:type="dxa"/>
          </w:tcPr>
          <w:p w14:paraId="111375B4" w14:textId="28C1BC6D" w:rsidR="00C6527F" w:rsidRPr="00B42F50" w:rsidRDefault="006C0A0C" w:rsidP="00D31902">
            <w:pPr>
              <w:jc w:val="center"/>
              <w:rPr>
                <w:sz w:val="22"/>
                <w:szCs w:val="22"/>
              </w:rPr>
            </w:pPr>
            <w:r>
              <w:rPr>
                <w:sz w:val="22"/>
                <w:szCs w:val="22"/>
              </w:rPr>
              <w:t>Mitte arvestatud</w:t>
            </w:r>
          </w:p>
        </w:tc>
        <w:tc>
          <w:tcPr>
            <w:tcW w:w="3209" w:type="dxa"/>
          </w:tcPr>
          <w:p w14:paraId="30A4EDEF" w14:textId="18DB0708" w:rsidR="009224C8" w:rsidRPr="008A624D" w:rsidRDefault="009224C8" w:rsidP="00D31902">
            <w:pPr>
              <w:jc w:val="both"/>
              <w:rPr>
                <w:sz w:val="22"/>
                <w:szCs w:val="22"/>
              </w:rPr>
            </w:pPr>
            <w:r w:rsidRPr="008A624D">
              <w:rPr>
                <w:sz w:val="22"/>
                <w:szCs w:val="22"/>
              </w:rPr>
              <w:t xml:space="preserve">Kuna </w:t>
            </w:r>
          </w:p>
          <w:p w14:paraId="2053B402" w14:textId="11CEC481" w:rsidR="00E20612" w:rsidRPr="008A624D" w:rsidRDefault="00122702" w:rsidP="00D31902">
            <w:pPr>
              <w:jc w:val="both"/>
              <w:rPr>
                <w:sz w:val="22"/>
                <w:szCs w:val="22"/>
              </w:rPr>
            </w:pPr>
            <w:r w:rsidRPr="008A624D">
              <w:rPr>
                <w:sz w:val="22"/>
                <w:szCs w:val="22"/>
              </w:rPr>
              <w:t xml:space="preserve">komisjoni rakendusmäärus (EL) 2023/895 </w:t>
            </w:r>
            <w:r w:rsidR="009224C8" w:rsidRPr="008A624D">
              <w:rPr>
                <w:sz w:val="22"/>
                <w:szCs w:val="22"/>
              </w:rPr>
              <w:t>asendatakse uue määrusega</w:t>
            </w:r>
            <w:r w:rsidR="00874F9D" w:rsidRPr="008A624D">
              <w:rPr>
                <w:sz w:val="22"/>
                <w:szCs w:val="22"/>
              </w:rPr>
              <w:t xml:space="preserve">, </w:t>
            </w:r>
            <w:r w:rsidR="005B6248" w:rsidRPr="008A624D">
              <w:rPr>
                <w:sz w:val="22"/>
                <w:szCs w:val="22"/>
              </w:rPr>
              <w:t xml:space="preserve">siis ei ole õiguslikult </w:t>
            </w:r>
            <w:r w:rsidR="00CA3766" w:rsidRPr="008A624D">
              <w:rPr>
                <w:sz w:val="22"/>
                <w:szCs w:val="22"/>
              </w:rPr>
              <w:t>põhjendatud</w:t>
            </w:r>
            <w:r w:rsidR="005B6248" w:rsidRPr="008A624D">
              <w:rPr>
                <w:sz w:val="22"/>
                <w:szCs w:val="22"/>
              </w:rPr>
              <w:t xml:space="preserve"> viidata määrusele, mis muutub </w:t>
            </w:r>
            <w:r w:rsidR="004923F9" w:rsidRPr="008A624D">
              <w:rPr>
                <w:sz w:val="22"/>
                <w:szCs w:val="22"/>
              </w:rPr>
              <w:t xml:space="preserve">kehtetuks. </w:t>
            </w:r>
            <w:r w:rsidR="0035752A" w:rsidRPr="008A624D">
              <w:rPr>
                <w:sz w:val="22"/>
                <w:szCs w:val="22"/>
              </w:rPr>
              <w:t>Juhul, kui uus määrus võetakse vastu enne KKELS menetluse lõppu, saab kaaluda uuele määrusele viitamist.</w:t>
            </w:r>
            <w:r w:rsidR="00D743BE" w:rsidRPr="008A624D">
              <w:rPr>
                <w:sz w:val="22"/>
                <w:szCs w:val="22"/>
              </w:rPr>
              <w:t xml:space="preserve"> Määruse kavand on leitav </w:t>
            </w:r>
            <w:hyperlink r:id="rId15" w:history="1">
              <w:r w:rsidR="00CD3AAE" w:rsidRPr="008A624D">
                <w:rPr>
                  <w:rStyle w:val="Hperlink"/>
                  <w:rFonts w:eastAsiaTheme="majorEastAsia"/>
                  <w:sz w:val="22"/>
                  <w:szCs w:val="22"/>
                </w:rPr>
                <w:t>EIOPA veebilehelt</w:t>
              </w:r>
            </w:hyperlink>
            <w:r w:rsidR="00D743BE" w:rsidRPr="008A624D">
              <w:rPr>
                <w:sz w:val="22"/>
                <w:szCs w:val="22"/>
              </w:rPr>
              <w:t>, avades „</w:t>
            </w:r>
            <w:proofErr w:type="spellStart"/>
            <w:r w:rsidR="00D743BE" w:rsidRPr="008A624D">
              <w:rPr>
                <w:sz w:val="22"/>
                <w:szCs w:val="22"/>
              </w:rPr>
              <w:t>Annex</w:t>
            </w:r>
            <w:proofErr w:type="spellEnd"/>
            <w:r w:rsidR="00D743BE" w:rsidRPr="008A624D">
              <w:rPr>
                <w:sz w:val="22"/>
                <w:szCs w:val="22"/>
              </w:rPr>
              <w:t xml:space="preserve"> VII</w:t>
            </w:r>
            <w:r w:rsidR="00473EF5" w:rsidRPr="008A624D">
              <w:rPr>
                <w:sz w:val="22"/>
                <w:szCs w:val="22"/>
              </w:rPr>
              <w:t>-</w:t>
            </w:r>
            <w:r w:rsidR="00473EF5" w:rsidRPr="008A624D">
              <w:rPr>
                <w:rFonts w:ascii="Arial" w:hAnsi="Arial" w:cs="Arial"/>
                <w:color w:val="515560"/>
                <w:sz w:val="24"/>
                <w:szCs w:val="24"/>
                <w:shd w:val="clear" w:color="auto" w:fill="F5F8FB"/>
                <w:lang w:eastAsia="en-US"/>
              </w:rPr>
              <w:t xml:space="preserve"> </w:t>
            </w:r>
            <w:proofErr w:type="spellStart"/>
            <w:r w:rsidR="00473EF5" w:rsidRPr="008A624D">
              <w:rPr>
                <w:sz w:val="22"/>
                <w:szCs w:val="22"/>
              </w:rPr>
              <w:t>Reporting</w:t>
            </w:r>
            <w:proofErr w:type="spellEnd"/>
            <w:r w:rsidR="00473EF5" w:rsidRPr="008A624D">
              <w:rPr>
                <w:sz w:val="22"/>
                <w:szCs w:val="22"/>
              </w:rPr>
              <w:t xml:space="preserve"> and </w:t>
            </w:r>
            <w:proofErr w:type="spellStart"/>
            <w:r w:rsidR="00473EF5" w:rsidRPr="008A624D">
              <w:rPr>
                <w:sz w:val="22"/>
                <w:szCs w:val="22"/>
              </w:rPr>
              <w:t>disclosure</w:t>
            </w:r>
            <w:proofErr w:type="spellEnd"/>
            <w:r w:rsidR="00473EF5" w:rsidRPr="008A624D">
              <w:rPr>
                <w:sz w:val="22"/>
                <w:szCs w:val="22"/>
              </w:rPr>
              <w:t xml:space="preserve"> package.zip</w:t>
            </w:r>
            <w:r w:rsidR="00D743BE" w:rsidRPr="008A624D">
              <w:rPr>
                <w:sz w:val="22"/>
                <w:szCs w:val="22"/>
              </w:rPr>
              <w:t xml:space="preserve">“ ning seejärel „ITS </w:t>
            </w:r>
            <w:proofErr w:type="spellStart"/>
            <w:r w:rsidR="00D743BE" w:rsidRPr="008A624D">
              <w:rPr>
                <w:sz w:val="22"/>
                <w:szCs w:val="22"/>
              </w:rPr>
              <w:t>Disclosure</w:t>
            </w:r>
            <w:proofErr w:type="spellEnd"/>
            <w:r w:rsidR="00D743BE" w:rsidRPr="008A624D">
              <w:rPr>
                <w:sz w:val="22"/>
                <w:szCs w:val="22"/>
              </w:rPr>
              <w:t>“ kausta.</w:t>
            </w:r>
          </w:p>
          <w:p w14:paraId="27632C61" w14:textId="77777777" w:rsidR="008A624D" w:rsidRPr="008A624D" w:rsidRDefault="008A624D" w:rsidP="00D31902">
            <w:pPr>
              <w:jc w:val="both"/>
              <w:rPr>
                <w:sz w:val="22"/>
                <w:szCs w:val="22"/>
              </w:rPr>
            </w:pPr>
          </w:p>
          <w:p w14:paraId="59ABDA45" w14:textId="11BF5830" w:rsidR="00C6527F" w:rsidRPr="00B42F50" w:rsidRDefault="008A624D" w:rsidP="008A624D">
            <w:pPr>
              <w:jc w:val="both"/>
              <w:rPr>
                <w:i/>
                <w:iCs/>
                <w:sz w:val="22"/>
                <w:szCs w:val="22"/>
              </w:rPr>
            </w:pPr>
            <w:r w:rsidRPr="008A624D">
              <w:rPr>
                <w:sz w:val="22"/>
                <w:szCs w:val="22"/>
              </w:rPr>
              <w:t>Juhime tähelepanu, et seletuskirjas on piisavad selgitused selle kohta, millist aurande osa tuleb auditeerida.</w:t>
            </w:r>
            <w:r>
              <w:rPr>
                <w:sz w:val="22"/>
                <w:szCs w:val="22"/>
              </w:rPr>
              <w:t xml:space="preserve"> </w:t>
            </w:r>
          </w:p>
        </w:tc>
      </w:tr>
      <w:tr w:rsidR="00EF26B0" w:rsidRPr="00B42F50" w14:paraId="1E621011" w14:textId="77777777" w:rsidTr="00BB3D0C">
        <w:tc>
          <w:tcPr>
            <w:tcW w:w="791" w:type="dxa"/>
          </w:tcPr>
          <w:p w14:paraId="04933939" w14:textId="1B0A073F" w:rsidR="003F0CDF" w:rsidRDefault="00790926" w:rsidP="00D31902">
            <w:pPr>
              <w:jc w:val="both"/>
              <w:rPr>
                <w:b/>
                <w:sz w:val="22"/>
                <w:szCs w:val="22"/>
              </w:rPr>
            </w:pPr>
            <w:r>
              <w:rPr>
                <w:b/>
                <w:sz w:val="22"/>
                <w:szCs w:val="22"/>
              </w:rPr>
              <w:t>4</w:t>
            </w:r>
            <w:r w:rsidR="003F0CDF">
              <w:rPr>
                <w:b/>
                <w:sz w:val="22"/>
                <w:szCs w:val="22"/>
              </w:rPr>
              <w:t>1.</w:t>
            </w:r>
          </w:p>
          <w:p w14:paraId="449B8658" w14:textId="4FE58902" w:rsidR="00C6527F" w:rsidRPr="00B42F50" w:rsidRDefault="001A002D" w:rsidP="00D31902">
            <w:pPr>
              <w:jc w:val="both"/>
              <w:rPr>
                <w:b/>
                <w:sz w:val="22"/>
                <w:szCs w:val="22"/>
              </w:rPr>
            </w:pPr>
            <w:r w:rsidRPr="00B42F50">
              <w:rPr>
                <w:b/>
                <w:sz w:val="22"/>
                <w:szCs w:val="22"/>
              </w:rPr>
              <w:t>AudK</w:t>
            </w:r>
          </w:p>
        </w:tc>
        <w:tc>
          <w:tcPr>
            <w:tcW w:w="5617" w:type="dxa"/>
          </w:tcPr>
          <w:p w14:paraId="5F8BC2E8" w14:textId="6ABBA930" w:rsidR="00C6527F" w:rsidRPr="00B42F50" w:rsidRDefault="0065094E" w:rsidP="00D31902">
            <w:pPr>
              <w:jc w:val="both"/>
              <w:rPr>
                <w:sz w:val="22"/>
                <w:szCs w:val="22"/>
              </w:rPr>
            </w:pPr>
            <w:r w:rsidRPr="00B42F50">
              <w:rPr>
                <w:sz w:val="22"/>
                <w:szCs w:val="22"/>
              </w:rPr>
              <w:t>Samuti peab KindlTS § 129 lg 1</w:t>
            </w:r>
            <w:r w:rsidRPr="00B42F50">
              <w:rPr>
                <w:sz w:val="22"/>
                <w:szCs w:val="22"/>
                <w:vertAlign w:val="superscript"/>
              </w:rPr>
              <w:t>1</w:t>
            </w:r>
            <w:r w:rsidRPr="00B42F50">
              <w:rPr>
                <w:sz w:val="22"/>
                <w:szCs w:val="22"/>
              </w:rPr>
              <w:t xml:space="preserve"> täpsustama, milliste kutsetegevuse standardite nõuete kohaselt audiitorkontroll tuleb läbi viia. Antud juhul on asjakohane viidata kahele kutsetegevuse standardile, mille kohaselt töövõtt läbi viiakse: ISA (EE) 800 ja ISA (EE) 805.</w:t>
            </w:r>
          </w:p>
        </w:tc>
        <w:tc>
          <w:tcPr>
            <w:tcW w:w="1044" w:type="dxa"/>
          </w:tcPr>
          <w:p w14:paraId="0FC12F34" w14:textId="477D2B48" w:rsidR="00C6527F" w:rsidRPr="00B42F50" w:rsidRDefault="00B43089" w:rsidP="00D31902">
            <w:pPr>
              <w:jc w:val="center"/>
              <w:rPr>
                <w:sz w:val="22"/>
                <w:szCs w:val="22"/>
              </w:rPr>
            </w:pPr>
            <w:r w:rsidRPr="00B42F50">
              <w:rPr>
                <w:sz w:val="22"/>
                <w:szCs w:val="22"/>
              </w:rPr>
              <w:t>Mitte arvestatud</w:t>
            </w:r>
          </w:p>
        </w:tc>
        <w:tc>
          <w:tcPr>
            <w:tcW w:w="3209" w:type="dxa"/>
          </w:tcPr>
          <w:p w14:paraId="4A96B376" w14:textId="2A433511" w:rsidR="007C465A" w:rsidRPr="00B42F50" w:rsidRDefault="007C465A" w:rsidP="00D31902">
            <w:pPr>
              <w:jc w:val="both"/>
              <w:rPr>
                <w:sz w:val="22"/>
                <w:szCs w:val="22"/>
              </w:rPr>
            </w:pPr>
            <w:r w:rsidRPr="00B42F50">
              <w:rPr>
                <w:sz w:val="22"/>
                <w:szCs w:val="22"/>
              </w:rPr>
              <w:t>S</w:t>
            </w:r>
            <w:r w:rsidR="00626614" w:rsidRPr="00B42F50">
              <w:rPr>
                <w:sz w:val="22"/>
                <w:szCs w:val="22"/>
              </w:rPr>
              <w:t xml:space="preserve">eaduse tasandil </w:t>
            </w:r>
            <w:r w:rsidR="00DB1FBE" w:rsidRPr="00B42F50">
              <w:rPr>
                <w:sz w:val="22"/>
                <w:szCs w:val="22"/>
              </w:rPr>
              <w:t xml:space="preserve">on asjakohane viidata </w:t>
            </w:r>
            <w:r w:rsidR="00626614" w:rsidRPr="00B42F50">
              <w:rPr>
                <w:sz w:val="22"/>
                <w:szCs w:val="22"/>
              </w:rPr>
              <w:t xml:space="preserve"> audiitortegevuse seaduse § 46 lõike 3 punktis 1 sätestatud rahvusvahelis</w:t>
            </w:r>
            <w:r w:rsidR="00E472F6" w:rsidRPr="00B42F50">
              <w:rPr>
                <w:sz w:val="22"/>
                <w:szCs w:val="22"/>
              </w:rPr>
              <w:t>tele</w:t>
            </w:r>
            <w:r w:rsidR="00626614" w:rsidRPr="00B42F50">
              <w:rPr>
                <w:sz w:val="22"/>
                <w:szCs w:val="22"/>
              </w:rPr>
              <w:t xml:space="preserve"> standard</w:t>
            </w:r>
            <w:r w:rsidR="00DB1FBE" w:rsidRPr="00B42F50">
              <w:rPr>
                <w:sz w:val="22"/>
                <w:szCs w:val="22"/>
              </w:rPr>
              <w:t xml:space="preserve">itele. </w:t>
            </w:r>
            <w:r w:rsidR="00AE0023" w:rsidRPr="00B42F50">
              <w:rPr>
                <w:sz w:val="22"/>
                <w:szCs w:val="22"/>
              </w:rPr>
              <w:t>Standardid on vabatahtlikud dokumendid, mille järgimine ei ole olemuselt kohustuslik</w:t>
            </w:r>
            <w:r w:rsidR="002146BB" w:rsidRPr="00B42F50">
              <w:rPr>
                <w:sz w:val="22"/>
                <w:szCs w:val="22"/>
              </w:rPr>
              <w:t>.</w:t>
            </w:r>
          </w:p>
          <w:p w14:paraId="624CEB6F" w14:textId="77777777" w:rsidR="0081456A" w:rsidRPr="00B42F50" w:rsidRDefault="0081456A" w:rsidP="00D31902">
            <w:pPr>
              <w:jc w:val="both"/>
              <w:rPr>
                <w:sz w:val="22"/>
                <w:szCs w:val="22"/>
              </w:rPr>
            </w:pPr>
          </w:p>
          <w:p w14:paraId="7177DCE4" w14:textId="13523E8D" w:rsidR="000F4427" w:rsidRPr="00B42F50" w:rsidRDefault="00EA7252" w:rsidP="00D31902">
            <w:pPr>
              <w:jc w:val="both"/>
              <w:rPr>
                <w:i/>
                <w:iCs/>
                <w:sz w:val="22"/>
                <w:szCs w:val="22"/>
              </w:rPr>
            </w:pPr>
            <w:r w:rsidRPr="00B42F50">
              <w:rPr>
                <w:sz w:val="22"/>
                <w:szCs w:val="22"/>
              </w:rPr>
              <w:t>S</w:t>
            </w:r>
            <w:r w:rsidR="00443CB8" w:rsidRPr="00B42F50">
              <w:rPr>
                <w:sz w:val="22"/>
                <w:szCs w:val="22"/>
              </w:rPr>
              <w:t>eletuskirjas</w:t>
            </w:r>
            <w:r w:rsidR="009E0F97" w:rsidRPr="00B42F50">
              <w:rPr>
                <w:sz w:val="22"/>
                <w:szCs w:val="22"/>
              </w:rPr>
              <w:t xml:space="preserve"> </w:t>
            </w:r>
            <w:r w:rsidRPr="00B42F50">
              <w:rPr>
                <w:sz w:val="22"/>
                <w:szCs w:val="22"/>
              </w:rPr>
              <w:t xml:space="preserve">on </w:t>
            </w:r>
            <w:r w:rsidR="00BA2F65" w:rsidRPr="00B42F50">
              <w:rPr>
                <w:sz w:val="22"/>
                <w:szCs w:val="22"/>
              </w:rPr>
              <w:t>selgitatud</w:t>
            </w:r>
            <w:r w:rsidR="006B3F07" w:rsidRPr="00B42F50">
              <w:rPr>
                <w:sz w:val="22"/>
                <w:szCs w:val="22"/>
              </w:rPr>
              <w:t>, et</w:t>
            </w:r>
            <w:r w:rsidR="00A317C8" w:rsidRPr="00B42F50">
              <w:rPr>
                <w:sz w:val="22"/>
                <w:szCs w:val="22"/>
              </w:rPr>
              <w:t xml:space="preserve"> eeldatakse, et</w:t>
            </w:r>
            <w:r w:rsidR="006B3F07" w:rsidRPr="00B42F50">
              <w:rPr>
                <w:sz w:val="22"/>
                <w:szCs w:val="22"/>
              </w:rPr>
              <w:t xml:space="preserve"> SFCR</w:t>
            </w:r>
            <w:r w:rsidR="007D005D" w:rsidRPr="00B42F50">
              <w:rPr>
                <w:sz w:val="22"/>
                <w:szCs w:val="22"/>
              </w:rPr>
              <w:t>-</w:t>
            </w:r>
            <w:r w:rsidR="006B3F07" w:rsidRPr="00B42F50">
              <w:rPr>
                <w:sz w:val="22"/>
                <w:szCs w:val="22"/>
              </w:rPr>
              <w:t>i tuleb auditeerida ISA (EE) 800</w:t>
            </w:r>
            <w:r w:rsidR="00200AE3" w:rsidRPr="00B42F50">
              <w:rPr>
                <w:sz w:val="22"/>
                <w:szCs w:val="22"/>
              </w:rPr>
              <w:t xml:space="preserve"> </w:t>
            </w:r>
            <w:r w:rsidR="00F54A91" w:rsidRPr="00B42F50">
              <w:rPr>
                <w:sz w:val="22"/>
                <w:szCs w:val="22"/>
              </w:rPr>
              <w:t xml:space="preserve">järgi </w:t>
            </w:r>
            <w:r w:rsidR="00200AE3" w:rsidRPr="00B42F50">
              <w:rPr>
                <w:sz w:val="22"/>
                <w:szCs w:val="22"/>
              </w:rPr>
              <w:t xml:space="preserve">ning </w:t>
            </w:r>
            <w:r w:rsidR="00EF26B0" w:rsidRPr="00B42F50">
              <w:rPr>
                <w:sz w:val="22"/>
                <w:szCs w:val="22"/>
              </w:rPr>
              <w:t xml:space="preserve">tulenevalt esitatud märkusest on </w:t>
            </w:r>
            <w:r w:rsidR="00200AE3" w:rsidRPr="00B42F50">
              <w:rPr>
                <w:sz w:val="22"/>
                <w:szCs w:val="22"/>
              </w:rPr>
              <w:t>s</w:t>
            </w:r>
            <w:r w:rsidR="00F54A91" w:rsidRPr="00B42F50">
              <w:rPr>
                <w:sz w:val="22"/>
                <w:szCs w:val="22"/>
              </w:rPr>
              <w:t xml:space="preserve">eletuskirja </w:t>
            </w:r>
            <w:r w:rsidR="009E17BA" w:rsidRPr="00B42F50">
              <w:rPr>
                <w:sz w:val="22"/>
                <w:szCs w:val="22"/>
              </w:rPr>
              <w:t>täiendatud</w:t>
            </w:r>
            <w:r w:rsidR="00F54A91" w:rsidRPr="00B42F50">
              <w:rPr>
                <w:sz w:val="22"/>
                <w:szCs w:val="22"/>
              </w:rPr>
              <w:t xml:space="preserve"> viitega </w:t>
            </w:r>
            <w:r w:rsidR="00200AE3" w:rsidRPr="00B42F50">
              <w:rPr>
                <w:sz w:val="22"/>
                <w:szCs w:val="22"/>
              </w:rPr>
              <w:t xml:space="preserve"> </w:t>
            </w:r>
            <w:r w:rsidR="006B3F07" w:rsidRPr="00B42F50">
              <w:rPr>
                <w:sz w:val="22"/>
                <w:szCs w:val="22"/>
              </w:rPr>
              <w:t>ISA (EE) 805</w:t>
            </w:r>
            <w:r w:rsidR="00F54A91" w:rsidRPr="00B42F50">
              <w:rPr>
                <w:sz w:val="22"/>
                <w:szCs w:val="22"/>
              </w:rPr>
              <w:t>-le</w:t>
            </w:r>
            <w:r w:rsidR="006B3F07" w:rsidRPr="00B42F50">
              <w:rPr>
                <w:sz w:val="22"/>
                <w:szCs w:val="22"/>
              </w:rPr>
              <w:t>.</w:t>
            </w:r>
          </w:p>
        </w:tc>
      </w:tr>
      <w:tr w:rsidR="00EF26B0" w:rsidRPr="00B42F50" w14:paraId="1C44D05C" w14:textId="77777777" w:rsidTr="00BB3D0C">
        <w:tc>
          <w:tcPr>
            <w:tcW w:w="791" w:type="dxa"/>
          </w:tcPr>
          <w:p w14:paraId="1AB3BC4A" w14:textId="16885476" w:rsidR="003F0CDF" w:rsidRDefault="00790926" w:rsidP="00D31902">
            <w:pPr>
              <w:jc w:val="both"/>
              <w:rPr>
                <w:b/>
                <w:sz w:val="22"/>
                <w:szCs w:val="22"/>
              </w:rPr>
            </w:pPr>
            <w:r>
              <w:rPr>
                <w:b/>
                <w:sz w:val="22"/>
                <w:szCs w:val="22"/>
              </w:rPr>
              <w:t>4</w:t>
            </w:r>
            <w:r w:rsidR="003F0CDF">
              <w:rPr>
                <w:b/>
                <w:sz w:val="22"/>
                <w:szCs w:val="22"/>
              </w:rPr>
              <w:t>2.</w:t>
            </w:r>
          </w:p>
          <w:p w14:paraId="2ADF9B68" w14:textId="5376CF67" w:rsidR="0065094E" w:rsidRPr="00B42F50" w:rsidRDefault="001A002D" w:rsidP="00D31902">
            <w:pPr>
              <w:jc w:val="both"/>
              <w:rPr>
                <w:bCs/>
                <w:sz w:val="22"/>
                <w:szCs w:val="22"/>
              </w:rPr>
            </w:pPr>
            <w:r w:rsidRPr="00B42F50">
              <w:rPr>
                <w:b/>
                <w:sz w:val="22"/>
                <w:szCs w:val="22"/>
              </w:rPr>
              <w:t>AudK</w:t>
            </w:r>
          </w:p>
        </w:tc>
        <w:tc>
          <w:tcPr>
            <w:tcW w:w="5617" w:type="dxa"/>
          </w:tcPr>
          <w:p w14:paraId="5F59BFF8" w14:textId="2AD6CC79" w:rsidR="0065094E" w:rsidRPr="00B42F50" w:rsidRDefault="00CF6E4B" w:rsidP="00D31902">
            <w:pPr>
              <w:jc w:val="both"/>
              <w:rPr>
                <w:sz w:val="22"/>
                <w:szCs w:val="22"/>
              </w:rPr>
            </w:pPr>
            <w:r w:rsidRPr="00B42F50">
              <w:rPr>
                <w:sz w:val="22"/>
                <w:szCs w:val="22"/>
              </w:rPr>
              <w:t xml:space="preserve">Lisame, et eelnõu jõustumisel tuleb määratleda, millistele aruannete perioodidele solventsuse ja finantsseisundi aruande bilansi audiitorkontrolli nõue kohaldub. Antud muudatusega ettenähtavat audiitorkontrolli ei saaks </w:t>
            </w:r>
            <w:r w:rsidRPr="00B42F50">
              <w:rPr>
                <w:sz w:val="22"/>
                <w:szCs w:val="22"/>
              </w:rPr>
              <w:lastRenderedPageBreak/>
              <w:t>korraldada aruannetele, mis käivad perioodide kohta, mis algavad enne 1. jaanuari 2027.</w:t>
            </w:r>
          </w:p>
        </w:tc>
        <w:tc>
          <w:tcPr>
            <w:tcW w:w="1044" w:type="dxa"/>
          </w:tcPr>
          <w:p w14:paraId="1126691C" w14:textId="5D2F2F86" w:rsidR="0065094E" w:rsidRPr="00B42F50" w:rsidRDefault="001A002D" w:rsidP="00D31902">
            <w:pPr>
              <w:jc w:val="both"/>
              <w:rPr>
                <w:sz w:val="22"/>
                <w:szCs w:val="22"/>
              </w:rPr>
            </w:pPr>
            <w:r w:rsidRPr="00B42F50">
              <w:rPr>
                <w:sz w:val="22"/>
                <w:szCs w:val="22"/>
              </w:rPr>
              <w:lastRenderedPageBreak/>
              <w:t>Arvestatud</w:t>
            </w:r>
          </w:p>
        </w:tc>
        <w:tc>
          <w:tcPr>
            <w:tcW w:w="3209" w:type="dxa"/>
          </w:tcPr>
          <w:p w14:paraId="099B0CC0" w14:textId="5B82DE02" w:rsidR="0065094E" w:rsidRPr="00B42F50" w:rsidRDefault="00322829" w:rsidP="00D31902">
            <w:pPr>
              <w:jc w:val="both"/>
              <w:rPr>
                <w:sz w:val="22"/>
                <w:szCs w:val="22"/>
              </w:rPr>
            </w:pPr>
            <w:r w:rsidRPr="00B42F50">
              <w:rPr>
                <w:sz w:val="22"/>
                <w:szCs w:val="22"/>
              </w:rPr>
              <w:t xml:space="preserve">Eelnõusse on lisatud uus </w:t>
            </w:r>
            <w:r w:rsidR="008104C3">
              <w:rPr>
                <w:sz w:val="22"/>
                <w:szCs w:val="22"/>
              </w:rPr>
              <w:t xml:space="preserve">KindlTS </w:t>
            </w:r>
            <w:r w:rsidRPr="00B42F50">
              <w:rPr>
                <w:sz w:val="22"/>
                <w:szCs w:val="22"/>
              </w:rPr>
              <w:t xml:space="preserve">§ </w:t>
            </w:r>
            <w:r w:rsidR="00390D2B" w:rsidRPr="00B42F50">
              <w:rPr>
                <w:sz w:val="22"/>
                <w:szCs w:val="22"/>
              </w:rPr>
              <w:t>274</w:t>
            </w:r>
            <w:r w:rsidR="00390D2B" w:rsidRPr="00B42F50">
              <w:rPr>
                <w:sz w:val="22"/>
                <w:szCs w:val="22"/>
                <w:vertAlign w:val="superscript"/>
              </w:rPr>
              <w:t>2</w:t>
            </w:r>
            <w:r w:rsidR="00D42BF5" w:rsidRPr="00B42F50">
              <w:rPr>
                <w:sz w:val="22"/>
                <w:szCs w:val="22"/>
              </w:rPr>
              <w:t>.</w:t>
            </w:r>
          </w:p>
        </w:tc>
      </w:tr>
      <w:tr w:rsidR="00EF26B0" w:rsidRPr="00B42F50" w14:paraId="02597278" w14:textId="77777777" w:rsidTr="00BB3D0C">
        <w:tc>
          <w:tcPr>
            <w:tcW w:w="791" w:type="dxa"/>
            <w:tcBorders>
              <w:bottom w:val="single" w:sz="4" w:space="0" w:color="auto"/>
            </w:tcBorders>
          </w:tcPr>
          <w:p w14:paraId="79850B88" w14:textId="7AAC506A" w:rsidR="003F0CDF" w:rsidRDefault="00790926" w:rsidP="00D31902">
            <w:pPr>
              <w:jc w:val="both"/>
              <w:rPr>
                <w:b/>
                <w:sz w:val="22"/>
                <w:szCs w:val="22"/>
              </w:rPr>
            </w:pPr>
            <w:r>
              <w:rPr>
                <w:b/>
                <w:sz w:val="22"/>
                <w:szCs w:val="22"/>
              </w:rPr>
              <w:t>4</w:t>
            </w:r>
            <w:r w:rsidR="003F0CDF">
              <w:rPr>
                <w:b/>
                <w:sz w:val="22"/>
                <w:szCs w:val="22"/>
              </w:rPr>
              <w:t>3.</w:t>
            </w:r>
          </w:p>
          <w:p w14:paraId="65FBA197" w14:textId="2F15E57E" w:rsidR="008409A6" w:rsidRPr="00B42F50" w:rsidRDefault="007F409C" w:rsidP="00D31902">
            <w:pPr>
              <w:jc w:val="both"/>
              <w:rPr>
                <w:b/>
                <w:sz w:val="22"/>
                <w:szCs w:val="22"/>
              </w:rPr>
            </w:pPr>
            <w:r w:rsidRPr="00B42F50">
              <w:rPr>
                <w:b/>
                <w:sz w:val="22"/>
                <w:szCs w:val="22"/>
              </w:rPr>
              <w:t>AudK</w:t>
            </w:r>
          </w:p>
        </w:tc>
        <w:tc>
          <w:tcPr>
            <w:tcW w:w="5617" w:type="dxa"/>
            <w:tcBorders>
              <w:bottom w:val="single" w:sz="4" w:space="0" w:color="auto"/>
            </w:tcBorders>
          </w:tcPr>
          <w:p w14:paraId="49CCA028" w14:textId="1DB9D899" w:rsidR="007F409C" w:rsidRPr="00B42F50" w:rsidRDefault="007F409C" w:rsidP="00D31902">
            <w:pPr>
              <w:jc w:val="both"/>
              <w:rPr>
                <w:sz w:val="22"/>
                <w:szCs w:val="22"/>
              </w:rPr>
            </w:pPr>
            <w:r w:rsidRPr="00B42F50">
              <w:rPr>
                <w:sz w:val="22"/>
                <w:szCs w:val="22"/>
              </w:rPr>
              <w:t>Kindlustustegevuse seaduses vajaks muutmist solventsus ja finantsseisundi aruande nimetus. Teame, et see (ekslik) tõlge on olnud aluseks juba aastaid kehtivale seadusele, kuid praktikutes on see alati tekitanud segadust ning vajab lahendamist. Raamatupidamise seadus ning raamatupidamistoimkonna juhendid kasutavad terminit "finantsseisund" raamatupidamise aastaaruande osaks oleva (kõnekeeles öelduna) bilansi tähistamiseks (RPS § 18 lg 1). Inglise keeles on see "</w:t>
            </w:r>
            <w:proofErr w:type="spellStart"/>
            <w:r w:rsidRPr="00B42F50">
              <w:rPr>
                <w:sz w:val="22"/>
                <w:szCs w:val="22"/>
              </w:rPr>
              <w:t>statement</w:t>
            </w:r>
            <w:proofErr w:type="spellEnd"/>
            <w:r w:rsidRPr="00B42F50">
              <w:rPr>
                <w:sz w:val="22"/>
                <w:szCs w:val="22"/>
              </w:rPr>
              <w:t xml:space="preserve"> of </w:t>
            </w:r>
            <w:proofErr w:type="spellStart"/>
            <w:r w:rsidRPr="00B42F50">
              <w:rPr>
                <w:sz w:val="22"/>
                <w:szCs w:val="22"/>
              </w:rPr>
              <w:t>financial</w:t>
            </w:r>
            <w:proofErr w:type="spellEnd"/>
            <w:r w:rsidRPr="00B42F50">
              <w:rPr>
                <w:sz w:val="22"/>
                <w:szCs w:val="22"/>
              </w:rPr>
              <w:t xml:space="preserve"> </w:t>
            </w:r>
            <w:proofErr w:type="spellStart"/>
            <w:r w:rsidRPr="00B42F50">
              <w:rPr>
                <w:sz w:val="22"/>
                <w:szCs w:val="22"/>
              </w:rPr>
              <w:t>position</w:t>
            </w:r>
            <w:proofErr w:type="spellEnd"/>
            <w:r w:rsidRPr="00B42F50">
              <w:rPr>
                <w:sz w:val="22"/>
                <w:szCs w:val="22"/>
              </w:rPr>
              <w:t xml:space="preserve">". Kindlustuse puhul on tegemist eraldi aruandega, mis inglise keeles on "a </w:t>
            </w:r>
            <w:proofErr w:type="spellStart"/>
            <w:r w:rsidRPr="00B42F50">
              <w:rPr>
                <w:sz w:val="22"/>
                <w:szCs w:val="22"/>
              </w:rPr>
              <w:t>statement</w:t>
            </w:r>
            <w:proofErr w:type="spellEnd"/>
            <w:r w:rsidRPr="00B42F50">
              <w:rPr>
                <w:sz w:val="22"/>
                <w:szCs w:val="22"/>
              </w:rPr>
              <w:t xml:space="preserve"> of </w:t>
            </w:r>
            <w:proofErr w:type="spellStart"/>
            <w:r w:rsidRPr="00B42F50">
              <w:rPr>
                <w:sz w:val="22"/>
                <w:szCs w:val="22"/>
              </w:rPr>
              <w:t>financial</w:t>
            </w:r>
            <w:proofErr w:type="spellEnd"/>
            <w:r w:rsidRPr="00B42F50">
              <w:rPr>
                <w:sz w:val="22"/>
                <w:szCs w:val="22"/>
              </w:rPr>
              <w:t xml:space="preserve"> </w:t>
            </w:r>
            <w:proofErr w:type="spellStart"/>
            <w:r w:rsidRPr="00B42F50">
              <w:rPr>
                <w:sz w:val="22"/>
                <w:szCs w:val="22"/>
              </w:rPr>
              <w:t>condition</w:t>
            </w:r>
            <w:proofErr w:type="spellEnd"/>
            <w:r w:rsidRPr="00B42F50">
              <w:rPr>
                <w:sz w:val="22"/>
                <w:szCs w:val="22"/>
              </w:rPr>
              <w:t xml:space="preserve"> and </w:t>
            </w:r>
            <w:proofErr w:type="spellStart"/>
            <w:r w:rsidRPr="00B42F50">
              <w:rPr>
                <w:sz w:val="22"/>
                <w:szCs w:val="22"/>
              </w:rPr>
              <w:t>solvency</w:t>
            </w:r>
            <w:proofErr w:type="spellEnd"/>
            <w:r w:rsidRPr="00B42F50">
              <w:rPr>
                <w:sz w:val="22"/>
                <w:szCs w:val="22"/>
              </w:rPr>
              <w:t>" ning selleks osaks olev "</w:t>
            </w:r>
            <w:proofErr w:type="spellStart"/>
            <w:r w:rsidRPr="00B42F50">
              <w:rPr>
                <w:sz w:val="22"/>
                <w:szCs w:val="22"/>
              </w:rPr>
              <w:t>statement</w:t>
            </w:r>
            <w:proofErr w:type="spellEnd"/>
            <w:r w:rsidRPr="00B42F50">
              <w:rPr>
                <w:sz w:val="22"/>
                <w:szCs w:val="22"/>
              </w:rPr>
              <w:t xml:space="preserve"> of </w:t>
            </w:r>
            <w:proofErr w:type="spellStart"/>
            <w:r w:rsidRPr="00B42F50">
              <w:rPr>
                <w:sz w:val="22"/>
                <w:szCs w:val="22"/>
              </w:rPr>
              <w:t>financial</w:t>
            </w:r>
            <w:proofErr w:type="spellEnd"/>
            <w:r w:rsidRPr="00B42F50">
              <w:rPr>
                <w:sz w:val="22"/>
                <w:szCs w:val="22"/>
              </w:rPr>
              <w:t xml:space="preserve"> </w:t>
            </w:r>
            <w:proofErr w:type="spellStart"/>
            <w:r w:rsidRPr="00B42F50">
              <w:rPr>
                <w:sz w:val="22"/>
                <w:szCs w:val="22"/>
              </w:rPr>
              <w:t>condition</w:t>
            </w:r>
            <w:proofErr w:type="spellEnd"/>
            <w:r w:rsidRPr="00B42F50">
              <w:rPr>
                <w:sz w:val="22"/>
                <w:szCs w:val="22"/>
              </w:rPr>
              <w:t>" on erinev aruanne eelpoolviidatud raamatupidamise aastaaruande osaks olevast finantsseisundi aruandest. Ehk siis maakeelne tõlge „</w:t>
            </w:r>
            <w:proofErr w:type="spellStart"/>
            <w:r w:rsidRPr="00B42F50">
              <w:rPr>
                <w:sz w:val="22"/>
                <w:szCs w:val="22"/>
              </w:rPr>
              <w:t>finantseisundi</w:t>
            </w:r>
            <w:proofErr w:type="spellEnd"/>
            <w:r w:rsidRPr="00B42F50">
              <w:rPr>
                <w:sz w:val="22"/>
                <w:szCs w:val="22"/>
              </w:rPr>
              <w:t xml:space="preserve"> </w:t>
            </w:r>
            <w:proofErr w:type="spellStart"/>
            <w:r w:rsidRPr="00B42F50">
              <w:rPr>
                <w:sz w:val="22"/>
                <w:szCs w:val="22"/>
              </w:rPr>
              <w:t>arunne</w:t>
            </w:r>
            <w:proofErr w:type="spellEnd"/>
            <w:r w:rsidRPr="00B42F50">
              <w:rPr>
                <w:sz w:val="22"/>
                <w:szCs w:val="22"/>
              </w:rPr>
              <w:t>“ ei saa samaaegselt tähendada kahte täiesti erinevat aruannet:</w:t>
            </w:r>
          </w:p>
          <w:p w14:paraId="4A28FC6B" w14:textId="77777777" w:rsidR="007F409C" w:rsidRPr="00B42F50" w:rsidRDefault="007F409C" w:rsidP="00D31902">
            <w:pPr>
              <w:numPr>
                <w:ilvl w:val="0"/>
                <w:numId w:val="1"/>
              </w:numPr>
              <w:jc w:val="both"/>
              <w:rPr>
                <w:sz w:val="22"/>
                <w:szCs w:val="22"/>
              </w:rPr>
            </w:pPr>
            <w:proofErr w:type="spellStart"/>
            <w:r w:rsidRPr="00B42F50">
              <w:rPr>
                <w:sz w:val="22"/>
                <w:szCs w:val="22"/>
              </w:rPr>
              <w:t>Statement</w:t>
            </w:r>
            <w:proofErr w:type="spellEnd"/>
            <w:r w:rsidRPr="00B42F50">
              <w:rPr>
                <w:sz w:val="22"/>
                <w:szCs w:val="22"/>
              </w:rPr>
              <w:t xml:space="preserve"> of </w:t>
            </w:r>
            <w:proofErr w:type="spellStart"/>
            <w:r w:rsidRPr="00B42F50">
              <w:rPr>
                <w:sz w:val="22"/>
                <w:szCs w:val="22"/>
              </w:rPr>
              <w:t>financial</w:t>
            </w:r>
            <w:proofErr w:type="spellEnd"/>
            <w:r w:rsidRPr="00B42F50">
              <w:rPr>
                <w:sz w:val="22"/>
                <w:szCs w:val="22"/>
              </w:rPr>
              <w:t xml:space="preserve"> </w:t>
            </w:r>
            <w:proofErr w:type="spellStart"/>
            <w:r w:rsidRPr="00B42F50">
              <w:rPr>
                <w:sz w:val="22"/>
                <w:szCs w:val="22"/>
              </w:rPr>
              <w:t>condition</w:t>
            </w:r>
            <w:proofErr w:type="spellEnd"/>
          </w:p>
          <w:p w14:paraId="21685F34" w14:textId="77777777" w:rsidR="007F409C" w:rsidRPr="00B42F50" w:rsidRDefault="007F409C" w:rsidP="00D31902">
            <w:pPr>
              <w:numPr>
                <w:ilvl w:val="0"/>
                <w:numId w:val="2"/>
              </w:numPr>
              <w:jc w:val="both"/>
              <w:rPr>
                <w:sz w:val="22"/>
                <w:szCs w:val="22"/>
              </w:rPr>
            </w:pPr>
            <w:proofErr w:type="spellStart"/>
            <w:r w:rsidRPr="00B42F50">
              <w:rPr>
                <w:sz w:val="22"/>
                <w:szCs w:val="22"/>
              </w:rPr>
              <w:t>Statement</w:t>
            </w:r>
            <w:proofErr w:type="spellEnd"/>
            <w:r w:rsidRPr="00B42F50">
              <w:rPr>
                <w:sz w:val="22"/>
                <w:szCs w:val="22"/>
              </w:rPr>
              <w:t xml:space="preserve"> of </w:t>
            </w:r>
            <w:proofErr w:type="spellStart"/>
            <w:r w:rsidRPr="00B42F50">
              <w:rPr>
                <w:sz w:val="22"/>
                <w:szCs w:val="22"/>
              </w:rPr>
              <w:t>financial</w:t>
            </w:r>
            <w:proofErr w:type="spellEnd"/>
            <w:r w:rsidRPr="00B42F50">
              <w:rPr>
                <w:sz w:val="22"/>
                <w:szCs w:val="22"/>
              </w:rPr>
              <w:t xml:space="preserve"> </w:t>
            </w:r>
            <w:proofErr w:type="spellStart"/>
            <w:r w:rsidRPr="00B42F50">
              <w:rPr>
                <w:sz w:val="22"/>
                <w:szCs w:val="22"/>
              </w:rPr>
              <w:t>position</w:t>
            </w:r>
            <w:proofErr w:type="spellEnd"/>
          </w:p>
          <w:p w14:paraId="3C19088F" w14:textId="77777777" w:rsidR="007F409C" w:rsidRPr="00B42F50" w:rsidRDefault="007F409C" w:rsidP="00D31902">
            <w:pPr>
              <w:jc w:val="both"/>
              <w:rPr>
                <w:sz w:val="22"/>
                <w:szCs w:val="22"/>
              </w:rPr>
            </w:pPr>
            <w:r w:rsidRPr="00B42F50">
              <w:rPr>
                <w:sz w:val="22"/>
                <w:szCs w:val="22"/>
              </w:rPr>
              <w:t> </w:t>
            </w:r>
          </w:p>
          <w:p w14:paraId="276A3868" w14:textId="77777777" w:rsidR="007F409C" w:rsidRPr="00B42F50" w:rsidRDefault="007F409C" w:rsidP="00D31902">
            <w:pPr>
              <w:jc w:val="both"/>
              <w:rPr>
                <w:sz w:val="22"/>
                <w:szCs w:val="22"/>
              </w:rPr>
            </w:pPr>
            <w:r w:rsidRPr="00B42F50">
              <w:rPr>
                <w:sz w:val="22"/>
                <w:szCs w:val="22"/>
              </w:rPr>
              <w:t xml:space="preserve">Kuna Eesti finantsmaastikul (ja ka </w:t>
            </w:r>
            <w:proofErr w:type="spellStart"/>
            <w:r w:rsidRPr="00B42F50">
              <w:rPr>
                <w:sz w:val="22"/>
                <w:szCs w:val="22"/>
              </w:rPr>
              <w:t>kindlustestes</w:t>
            </w:r>
            <w:proofErr w:type="spellEnd"/>
            <w:r w:rsidRPr="00B42F50">
              <w:rPr>
                <w:sz w:val="22"/>
                <w:szCs w:val="22"/>
              </w:rPr>
              <w:t xml:space="preserve">) on juba aastaid käibel termin finantsseisundi aruanne, mis tähendab </w:t>
            </w:r>
            <w:proofErr w:type="spellStart"/>
            <w:r w:rsidRPr="00B42F50">
              <w:rPr>
                <w:sz w:val="22"/>
                <w:szCs w:val="22"/>
              </w:rPr>
              <w:t>ingllise</w:t>
            </w:r>
            <w:proofErr w:type="spellEnd"/>
            <w:r w:rsidRPr="00B42F50">
              <w:rPr>
                <w:sz w:val="22"/>
                <w:szCs w:val="22"/>
              </w:rPr>
              <w:t xml:space="preserve"> keeles „</w:t>
            </w:r>
            <w:proofErr w:type="spellStart"/>
            <w:r w:rsidRPr="00B42F50">
              <w:rPr>
                <w:sz w:val="22"/>
                <w:szCs w:val="22"/>
              </w:rPr>
              <w:t>statement</w:t>
            </w:r>
            <w:proofErr w:type="spellEnd"/>
            <w:r w:rsidRPr="00B42F50">
              <w:rPr>
                <w:sz w:val="22"/>
                <w:szCs w:val="22"/>
              </w:rPr>
              <w:t xml:space="preserve"> of </w:t>
            </w:r>
            <w:proofErr w:type="spellStart"/>
            <w:r w:rsidRPr="00B42F50">
              <w:rPr>
                <w:sz w:val="22"/>
                <w:szCs w:val="22"/>
              </w:rPr>
              <w:t>financial</w:t>
            </w:r>
            <w:proofErr w:type="spellEnd"/>
            <w:r w:rsidRPr="00B42F50">
              <w:rPr>
                <w:sz w:val="22"/>
                <w:szCs w:val="22"/>
              </w:rPr>
              <w:t xml:space="preserve"> </w:t>
            </w:r>
            <w:proofErr w:type="spellStart"/>
            <w:r w:rsidRPr="00B42F50">
              <w:rPr>
                <w:sz w:val="22"/>
                <w:szCs w:val="22"/>
              </w:rPr>
              <w:t>position</w:t>
            </w:r>
            <w:proofErr w:type="spellEnd"/>
            <w:r w:rsidRPr="00B42F50">
              <w:rPr>
                <w:sz w:val="22"/>
                <w:szCs w:val="22"/>
              </w:rPr>
              <w:t>“, siis ei saa „</w:t>
            </w:r>
            <w:proofErr w:type="spellStart"/>
            <w:r w:rsidRPr="00B42F50">
              <w:rPr>
                <w:sz w:val="22"/>
                <w:szCs w:val="22"/>
              </w:rPr>
              <w:t>financial</w:t>
            </w:r>
            <w:proofErr w:type="spellEnd"/>
            <w:r w:rsidRPr="00B42F50">
              <w:rPr>
                <w:sz w:val="22"/>
                <w:szCs w:val="22"/>
              </w:rPr>
              <w:t xml:space="preserve"> </w:t>
            </w:r>
            <w:proofErr w:type="spellStart"/>
            <w:r w:rsidRPr="00B42F50">
              <w:rPr>
                <w:sz w:val="22"/>
                <w:szCs w:val="22"/>
              </w:rPr>
              <w:t>condition</w:t>
            </w:r>
            <w:proofErr w:type="spellEnd"/>
            <w:r w:rsidRPr="00B42F50">
              <w:rPr>
                <w:sz w:val="22"/>
                <w:szCs w:val="22"/>
              </w:rPr>
              <w:t>“ aruannet tõlkida eesti keelde täpselt sama moodi.</w:t>
            </w:r>
          </w:p>
          <w:p w14:paraId="3102BB2F" w14:textId="77777777" w:rsidR="007F409C" w:rsidRPr="00B42F50" w:rsidRDefault="007F409C" w:rsidP="00D31902">
            <w:pPr>
              <w:jc w:val="both"/>
              <w:rPr>
                <w:sz w:val="22"/>
                <w:szCs w:val="22"/>
              </w:rPr>
            </w:pPr>
            <w:r w:rsidRPr="00B42F50">
              <w:rPr>
                <w:sz w:val="22"/>
                <w:szCs w:val="22"/>
              </w:rPr>
              <w:t> Kuna finantsseisundi aruanne on märksa tähtsam, olulisem ja rohkem levinud ning kasutatav, jääb selle tähendus ülimuslikuks ja muutmist vajaks "</w:t>
            </w:r>
            <w:proofErr w:type="spellStart"/>
            <w:r w:rsidRPr="00B42F50">
              <w:rPr>
                <w:sz w:val="22"/>
                <w:szCs w:val="22"/>
              </w:rPr>
              <w:t>financial</w:t>
            </w:r>
            <w:proofErr w:type="spellEnd"/>
            <w:r w:rsidRPr="00B42F50">
              <w:rPr>
                <w:sz w:val="22"/>
                <w:szCs w:val="22"/>
              </w:rPr>
              <w:t xml:space="preserve"> </w:t>
            </w:r>
            <w:proofErr w:type="spellStart"/>
            <w:r w:rsidRPr="00B42F50">
              <w:rPr>
                <w:sz w:val="22"/>
                <w:szCs w:val="22"/>
              </w:rPr>
              <w:t>condition</w:t>
            </w:r>
            <w:proofErr w:type="spellEnd"/>
            <w:r w:rsidRPr="00B42F50">
              <w:rPr>
                <w:sz w:val="22"/>
                <w:szCs w:val="22"/>
              </w:rPr>
              <w:t>" tõlge, mis on asjakohane ennekõike just kindlustusettevõtete eriraporti puhul.</w:t>
            </w:r>
          </w:p>
          <w:p w14:paraId="0172FF6B" w14:textId="2E09C9D5" w:rsidR="008409A6" w:rsidRPr="00B42F50" w:rsidRDefault="007F409C" w:rsidP="00D31902">
            <w:pPr>
              <w:jc w:val="both"/>
              <w:rPr>
                <w:sz w:val="22"/>
                <w:szCs w:val="22"/>
              </w:rPr>
            </w:pPr>
            <w:r w:rsidRPr="00B42F50">
              <w:rPr>
                <w:sz w:val="22"/>
                <w:szCs w:val="22"/>
              </w:rPr>
              <w:t> Palume see kommentaar arvata juurde varem saadetud Audiitorkogu arvamusele. Soovitame leida võimalus seaduses läbivalt vajalik muudatus teha ning korrektse termini leidmiseks pidada nõu raamatupidamise toimkonnaga ja raamatupidamise seaduse koostajaga.</w:t>
            </w:r>
          </w:p>
        </w:tc>
        <w:tc>
          <w:tcPr>
            <w:tcW w:w="1044" w:type="dxa"/>
            <w:tcBorders>
              <w:bottom w:val="single" w:sz="4" w:space="0" w:color="auto"/>
            </w:tcBorders>
          </w:tcPr>
          <w:p w14:paraId="33BD4C04" w14:textId="7D2DBDC4" w:rsidR="008409A6" w:rsidRPr="00B42F50" w:rsidRDefault="00414F1E" w:rsidP="00D31902">
            <w:pPr>
              <w:jc w:val="both"/>
              <w:rPr>
                <w:sz w:val="22"/>
                <w:szCs w:val="22"/>
              </w:rPr>
            </w:pPr>
            <w:r w:rsidRPr="00B42F50">
              <w:rPr>
                <w:sz w:val="22"/>
                <w:szCs w:val="22"/>
              </w:rPr>
              <w:t>Selgitatud</w:t>
            </w:r>
          </w:p>
        </w:tc>
        <w:tc>
          <w:tcPr>
            <w:tcW w:w="3209" w:type="dxa"/>
            <w:tcBorders>
              <w:bottom w:val="single" w:sz="4" w:space="0" w:color="auto"/>
            </w:tcBorders>
          </w:tcPr>
          <w:p w14:paraId="33321A22" w14:textId="281CF71A" w:rsidR="00305055" w:rsidRPr="00B42F50" w:rsidRDefault="00F2121E" w:rsidP="00D31902">
            <w:pPr>
              <w:jc w:val="both"/>
              <w:rPr>
                <w:sz w:val="22"/>
                <w:szCs w:val="22"/>
              </w:rPr>
            </w:pPr>
            <w:r w:rsidRPr="00B42F50">
              <w:rPr>
                <w:sz w:val="22"/>
                <w:szCs w:val="22"/>
              </w:rPr>
              <w:t>Nõustume, et terminikasutus finantsaruandluse valdkonnas peab olema selge ja järjepidev ning et mõiste „finantsseisund“ on Eesti õiguses ja praktikas laialdaselt kasutusel eeskätt raamatupidamise aastaaruande osaks oleva finantsseisundi aruande (bilansi) tähistamiseks vastavalt raamatupidamise seadusele.</w:t>
            </w:r>
          </w:p>
          <w:p w14:paraId="401DC6F2" w14:textId="77777777" w:rsidR="00F2121E" w:rsidRPr="00B42F50" w:rsidRDefault="00F2121E" w:rsidP="00D31902">
            <w:pPr>
              <w:jc w:val="both"/>
              <w:rPr>
                <w:color w:val="FF0000"/>
                <w:sz w:val="22"/>
                <w:szCs w:val="22"/>
              </w:rPr>
            </w:pPr>
          </w:p>
          <w:p w14:paraId="5A4E67FF" w14:textId="77777777" w:rsidR="00A64905" w:rsidRPr="00B42F50" w:rsidRDefault="00A54327" w:rsidP="00D31902">
            <w:pPr>
              <w:jc w:val="both"/>
              <w:rPr>
                <w:sz w:val="22"/>
                <w:szCs w:val="22"/>
              </w:rPr>
            </w:pPr>
            <w:r w:rsidRPr="00B42F50">
              <w:rPr>
                <w:sz w:val="22"/>
                <w:szCs w:val="22"/>
              </w:rPr>
              <w:t>Samas on oluline ka asjaolu, et termin „solventsus</w:t>
            </w:r>
            <w:r w:rsidR="005F37C3" w:rsidRPr="00B42F50">
              <w:rPr>
                <w:sz w:val="22"/>
                <w:szCs w:val="22"/>
              </w:rPr>
              <w:t>e</w:t>
            </w:r>
            <w:r w:rsidRPr="00B42F50">
              <w:rPr>
                <w:sz w:val="22"/>
                <w:szCs w:val="22"/>
              </w:rPr>
              <w:t xml:space="preserve"> ja finantsseisundi aruanne“ on</w:t>
            </w:r>
          </w:p>
          <w:p w14:paraId="644C51DA" w14:textId="1DD288AD" w:rsidR="007811C1" w:rsidRPr="00B42F50" w:rsidRDefault="00A64905" w:rsidP="00D31902">
            <w:pPr>
              <w:jc w:val="both"/>
              <w:rPr>
                <w:sz w:val="22"/>
                <w:szCs w:val="22"/>
              </w:rPr>
            </w:pPr>
            <w:r w:rsidRPr="00B42F50">
              <w:rPr>
                <w:sz w:val="22"/>
                <w:szCs w:val="22"/>
              </w:rPr>
              <w:t>kindlustustegevuses käibes juurdunud</w:t>
            </w:r>
            <w:r w:rsidR="00F81672">
              <w:rPr>
                <w:sz w:val="22"/>
                <w:szCs w:val="22"/>
              </w:rPr>
              <w:t xml:space="preserve"> (kasutusel olnud 10a)</w:t>
            </w:r>
            <w:r w:rsidRPr="00B42F50">
              <w:rPr>
                <w:sz w:val="22"/>
                <w:szCs w:val="22"/>
              </w:rPr>
              <w:t xml:space="preserve"> ja </w:t>
            </w:r>
            <w:r w:rsidR="002362E5" w:rsidRPr="00B42F50">
              <w:rPr>
                <w:sz w:val="22"/>
                <w:szCs w:val="22"/>
              </w:rPr>
              <w:t xml:space="preserve">kindlustusvaldkonna </w:t>
            </w:r>
            <w:r w:rsidRPr="00B42F50">
              <w:rPr>
                <w:sz w:val="22"/>
                <w:szCs w:val="22"/>
              </w:rPr>
              <w:t>inimesed on sellega harjunud. Uue termini kasutusele võtmine kindlustustegevuses juurdunud „Solventsus ja finantsseisundi aruande“ asemel tekitaks pigem segadust</w:t>
            </w:r>
            <w:r w:rsidR="00861FFE" w:rsidRPr="00B42F50">
              <w:rPr>
                <w:sz w:val="22"/>
                <w:szCs w:val="22"/>
              </w:rPr>
              <w:t>. Samuti on see termin lisaks</w:t>
            </w:r>
            <w:r w:rsidR="00303C90" w:rsidRPr="00B42F50">
              <w:rPr>
                <w:sz w:val="22"/>
                <w:szCs w:val="22"/>
              </w:rPr>
              <w:t xml:space="preserve"> kindlustustegevuse seadusele </w:t>
            </w:r>
            <w:r w:rsidR="00A54327" w:rsidRPr="00B42F50">
              <w:rPr>
                <w:sz w:val="22"/>
                <w:szCs w:val="22"/>
              </w:rPr>
              <w:t xml:space="preserve">kasutusele võetud Euroopa Liidu õiguses. Sama </w:t>
            </w:r>
            <w:r w:rsidR="007811C1" w:rsidRPr="00B42F50">
              <w:rPr>
                <w:sz w:val="22"/>
                <w:szCs w:val="22"/>
              </w:rPr>
              <w:t>termin</w:t>
            </w:r>
            <w:r w:rsidR="00A54327" w:rsidRPr="00B42F50">
              <w:rPr>
                <w:sz w:val="22"/>
                <w:szCs w:val="22"/>
              </w:rPr>
              <w:t xml:space="preserve"> esineb Solventsus II direktiivis, komisjoni delegeeritud määruses (EL) 2015/35</w:t>
            </w:r>
            <w:r w:rsidR="007811C1" w:rsidRPr="00B42F50">
              <w:rPr>
                <w:sz w:val="22"/>
                <w:szCs w:val="22"/>
              </w:rPr>
              <w:t xml:space="preserve">, </w:t>
            </w:r>
            <w:r w:rsidR="002876D6" w:rsidRPr="00B42F50">
              <w:rPr>
                <w:sz w:val="22"/>
                <w:szCs w:val="22"/>
              </w:rPr>
              <w:t>komisjoni rakendusmääruses (EL) 2023/895</w:t>
            </w:r>
          </w:p>
          <w:p w14:paraId="2BC7DEE0" w14:textId="75DBE0E2" w:rsidR="002876D6" w:rsidRPr="00B42F50" w:rsidRDefault="00A54327" w:rsidP="00D31902">
            <w:pPr>
              <w:jc w:val="both"/>
              <w:rPr>
                <w:sz w:val="22"/>
                <w:szCs w:val="22"/>
              </w:rPr>
            </w:pPr>
            <w:r w:rsidRPr="00B42F50">
              <w:rPr>
                <w:sz w:val="22"/>
                <w:szCs w:val="22"/>
              </w:rPr>
              <w:t xml:space="preserve">ning asjakohastes EIOPA suunistes. </w:t>
            </w:r>
          </w:p>
          <w:p w14:paraId="53B3BBBB" w14:textId="77777777" w:rsidR="0006433C" w:rsidRPr="00B42F50" w:rsidRDefault="0006433C" w:rsidP="00D31902">
            <w:pPr>
              <w:jc w:val="both"/>
              <w:rPr>
                <w:sz w:val="22"/>
                <w:szCs w:val="22"/>
              </w:rPr>
            </w:pPr>
          </w:p>
          <w:p w14:paraId="77C059CE" w14:textId="470E05D6" w:rsidR="0006433C" w:rsidRPr="00B42F50" w:rsidRDefault="00123EC6" w:rsidP="00D31902">
            <w:pPr>
              <w:jc w:val="both"/>
              <w:rPr>
                <w:sz w:val="22"/>
                <w:szCs w:val="22"/>
              </w:rPr>
            </w:pPr>
            <w:r w:rsidRPr="00B42F50">
              <w:rPr>
                <w:sz w:val="22"/>
                <w:szCs w:val="22"/>
              </w:rPr>
              <w:t xml:space="preserve">KindlTS § 123 lõige 1 </w:t>
            </w:r>
            <w:r w:rsidR="004F60C0" w:rsidRPr="00B42F50">
              <w:rPr>
                <w:sz w:val="22"/>
                <w:szCs w:val="22"/>
              </w:rPr>
              <w:t xml:space="preserve">viitab komisjoni delegeeritud määruse (EL) 2015/35 artiklitele 290-298, kus on esitatud </w:t>
            </w:r>
            <w:r w:rsidR="00402B7B" w:rsidRPr="00B42F50">
              <w:rPr>
                <w:sz w:val="22"/>
                <w:szCs w:val="22"/>
              </w:rPr>
              <w:t>solventsus</w:t>
            </w:r>
            <w:r w:rsidR="00BC7EF2" w:rsidRPr="00B42F50">
              <w:rPr>
                <w:sz w:val="22"/>
                <w:szCs w:val="22"/>
              </w:rPr>
              <w:t>e</w:t>
            </w:r>
            <w:r w:rsidR="00402B7B" w:rsidRPr="00B42F50">
              <w:rPr>
                <w:sz w:val="22"/>
                <w:szCs w:val="22"/>
              </w:rPr>
              <w:t xml:space="preserve"> ja finantsseisundi aruanne</w:t>
            </w:r>
            <w:r w:rsidR="004F60C0" w:rsidRPr="00B42F50">
              <w:rPr>
                <w:sz w:val="22"/>
                <w:szCs w:val="22"/>
              </w:rPr>
              <w:t xml:space="preserve"> struktuur ja aruande sisu selgitused</w:t>
            </w:r>
            <w:r w:rsidR="00106709" w:rsidRPr="00B42F50">
              <w:rPr>
                <w:sz w:val="22"/>
                <w:szCs w:val="22"/>
              </w:rPr>
              <w:t xml:space="preserve"> ehk seaduses rakendaja</w:t>
            </w:r>
            <w:r w:rsidR="00907E0F" w:rsidRPr="00B42F50">
              <w:rPr>
                <w:sz w:val="22"/>
                <w:szCs w:val="22"/>
              </w:rPr>
              <w:t>le (aruande koostajale)</w:t>
            </w:r>
            <w:r w:rsidR="00106709" w:rsidRPr="00B42F50">
              <w:rPr>
                <w:sz w:val="22"/>
                <w:szCs w:val="22"/>
              </w:rPr>
              <w:t xml:space="preserve"> on </w:t>
            </w:r>
            <w:r w:rsidR="00907E0F" w:rsidRPr="00B42F50">
              <w:rPr>
                <w:sz w:val="22"/>
                <w:szCs w:val="22"/>
              </w:rPr>
              <w:t xml:space="preserve">piisavalt </w:t>
            </w:r>
            <w:r w:rsidR="00106709" w:rsidRPr="00B42F50">
              <w:rPr>
                <w:sz w:val="22"/>
                <w:szCs w:val="22"/>
              </w:rPr>
              <w:t>selge, millis</w:t>
            </w:r>
            <w:r w:rsidR="00907E0F" w:rsidRPr="00B42F50">
              <w:rPr>
                <w:sz w:val="22"/>
                <w:szCs w:val="22"/>
              </w:rPr>
              <w:t>test aruandevormidest ja reeglitest juhinduda.</w:t>
            </w:r>
          </w:p>
          <w:p w14:paraId="342CE3C5" w14:textId="77777777" w:rsidR="000C5883" w:rsidRPr="00B42F50" w:rsidRDefault="000C5883" w:rsidP="00D31902">
            <w:pPr>
              <w:jc w:val="both"/>
              <w:rPr>
                <w:sz w:val="22"/>
                <w:szCs w:val="22"/>
              </w:rPr>
            </w:pPr>
          </w:p>
          <w:p w14:paraId="001A0C60" w14:textId="2126869B" w:rsidR="00D8691A" w:rsidRPr="00B42F50" w:rsidRDefault="009C6332" w:rsidP="00D31902">
            <w:pPr>
              <w:jc w:val="both"/>
              <w:rPr>
                <w:i/>
                <w:iCs/>
                <w:sz w:val="22"/>
                <w:szCs w:val="22"/>
              </w:rPr>
            </w:pPr>
            <w:r w:rsidRPr="00B42F50">
              <w:rPr>
                <w:sz w:val="22"/>
                <w:szCs w:val="22"/>
              </w:rPr>
              <w:t xml:space="preserve">Seega </w:t>
            </w:r>
            <w:r w:rsidR="00BF0331" w:rsidRPr="00B42F50">
              <w:rPr>
                <w:sz w:val="22"/>
                <w:szCs w:val="22"/>
              </w:rPr>
              <w:t>pea</w:t>
            </w:r>
            <w:r w:rsidR="00735C77" w:rsidRPr="00B42F50">
              <w:rPr>
                <w:sz w:val="22"/>
                <w:szCs w:val="22"/>
              </w:rPr>
              <w:t>ks</w:t>
            </w:r>
            <w:r w:rsidR="00BF0331" w:rsidRPr="00B42F50">
              <w:rPr>
                <w:sz w:val="22"/>
                <w:szCs w:val="22"/>
              </w:rPr>
              <w:t xml:space="preserve"> </w:t>
            </w:r>
            <w:r w:rsidRPr="00B42F50">
              <w:rPr>
                <w:sz w:val="22"/>
                <w:szCs w:val="22"/>
              </w:rPr>
              <w:t>seaduses termini muutmine toimuma kooskõlas kõikides eelosutatud EL õigusaktides termini muutmisega.</w:t>
            </w:r>
          </w:p>
        </w:tc>
      </w:tr>
    </w:tbl>
    <w:p w14:paraId="31ACDD71" w14:textId="77777777" w:rsidR="00C6527F" w:rsidRPr="00B42F50" w:rsidRDefault="00C6527F" w:rsidP="00D31902">
      <w:pPr>
        <w:rPr>
          <w:sz w:val="22"/>
          <w:szCs w:val="22"/>
        </w:rPr>
      </w:pPr>
    </w:p>
    <w:tbl>
      <w:tblPr>
        <w:tblW w:w="10680"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0"/>
      </w:tblGrid>
      <w:tr w:rsidR="00C6527F" w:rsidRPr="00B42F50" w14:paraId="1A0F955E" w14:textId="77777777">
        <w:tc>
          <w:tcPr>
            <w:tcW w:w="10680" w:type="dxa"/>
            <w:shd w:val="clear" w:color="auto" w:fill="D9D9D9" w:themeFill="background1" w:themeFillShade="D9"/>
            <w:vAlign w:val="center"/>
          </w:tcPr>
          <w:p w14:paraId="65AC3239" w14:textId="61F025B2" w:rsidR="00C6527F" w:rsidRPr="00B42F50" w:rsidRDefault="00790926" w:rsidP="00D31902">
            <w:pPr>
              <w:pStyle w:val="Pealkiri1"/>
              <w:spacing w:before="0" w:after="0" w:line="240" w:lineRule="auto"/>
              <w:jc w:val="both"/>
              <w:rPr>
                <w:rFonts w:ascii="Times New Roman" w:hAnsi="Times New Roman"/>
                <w:b/>
                <w:color w:val="auto"/>
                <w:sz w:val="22"/>
                <w:szCs w:val="22"/>
                <w:lang w:eastAsia="fr-FR"/>
              </w:rPr>
            </w:pPr>
            <w:bookmarkStart w:id="5" w:name="_Ref222303716"/>
            <w:r>
              <w:rPr>
                <w:rFonts w:ascii="Times New Roman" w:hAnsi="Times New Roman"/>
                <w:b/>
                <w:color w:val="auto"/>
                <w:sz w:val="22"/>
                <w:szCs w:val="22"/>
                <w:lang w:eastAsia="fr-FR"/>
              </w:rPr>
              <w:lastRenderedPageBreak/>
              <w:t xml:space="preserve">EESTI </w:t>
            </w:r>
            <w:r w:rsidR="00B639B2" w:rsidRPr="00B42F50">
              <w:rPr>
                <w:rFonts w:ascii="Times New Roman" w:hAnsi="Times New Roman"/>
                <w:b/>
                <w:color w:val="auto"/>
                <w:sz w:val="22"/>
                <w:szCs w:val="22"/>
                <w:lang w:eastAsia="fr-FR"/>
              </w:rPr>
              <w:t>KAUBANDUS-TÖÖSTUSKODA</w:t>
            </w:r>
            <w:bookmarkEnd w:id="5"/>
          </w:p>
        </w:tc>
      </w:tr>
    </w:tbl>
    <w:tbl>
      <w:tblPr>
        <w:tblStyle w:val="Kontuurtabel"/>
        <w:tblW w:w="10661" w:type="dxa"/>
        <w:tblInd w:w="-743" w:type="dxa"/>
        <w:tblLook w:val="00A0" w:firstRow="1" w:lastRow="0" w:firstColumn="1" w:lastColumn="0" w:noHBand="0" w:noVBand="0"/>
      </w:tblPr>
      <w:tblGrid>
        <w:gridCol w:w="876"/>
        <w:gridCol w:w="5383"/>
        <w:gridCol w:w="1243"/>
        <w:gridCol w:w="3159"/>
      </w:tblGrid>
      <w:tr w:rsidR="00D67C81" w:rsidRPr="00B42F50" w14:paraId="1DCB3A13" w14:textId="77777777" w:rsidTr="00EE4822">
        <w:tc>
          <w:tcPr>
            <w:tcW w:w="708" w:type="dxa"/>
          </w:tcPr>
          <w:p w14:paraId="23C5E547" w14:textId="1ED79833" w:rsidR="00C6527F" w:rsidRDefault="00790926" w:rsidP="00D31902">
            <w:pPr>
              <w:jc w:val="both"/>
              <w:rPr>
                <w:b/>
                <w:sz w:val="22"/>
                <w:szCs w:val="22"/>
              </w:rPr>
            </w:pPr>
            <w:r>
              <w:rPr>
                <w:b/>
                <w:sz w:val="22"/>
                <w:szCs w:val="22"/>
              </w:rPr>
              <w:t>44</w:t>
            </w:r>
            <w:r w:rsidR="00E52E92">
              <w:rPr>
                <w:b/>
                <w:sz w:val="22"/>
                <w:szCs w:val="22"/>
              </w:rPr>
              <w:t xml:space="preserve">. </w:t>
            </w:r>
          </w:p>
          <w:p w14:paraId="11C478D9" w14:textId="32817B8D" w:rsidR="00E52E92" w:rsidRPr="00B42F50" w:rsidRDefault="00E52E92" w:rsidP="00D31902">
            <w:pPr>
              <w:jc w:val="both"/>
              <w:rPr>
                <w:b/>
                <w:sz w:val="22"/>
                <w:szCs w:val="22"/>
              </w:rPr>
            </w:pPr>
            <w:r>
              <w:rPr>
                <w:b/>
                <w:sz w:val="22"/>
                <w:szCs w:val="22"/>
              </w:rPr>
              <w:t>KODA</w:t>
            </w:r>
          </w:p>
        </w:tc>
        <w:tc>
          <w:tcPr>
            <w:tcW w:w="5501" w:type="dxa"/>
          </w:tcPr>
          <w:p w14:paraId="5E6220A6" w14:textId="3A1B241F" w:rsidR="00CB31F2" w:rsidRPr="00070736" w:rsidRDefault="00CB31F2" w:rsidP="00D31902">
            <w:pPr>
              <w:jc w:val="both"/>
              <w:rPr>
                <w:sz w:val="22"/>
                <w:szCs w:val="22"/>
              </w:rPr>
            </w:pPr>
            <w:r w:rsidRPr="00070736">
              <w:rPr>
                <w:sz w:val="22"/>
                <w:szCs w:val="22"/>
              </w:rPr>
              <w:t xml:space="preserve">1. Bürokraatia ja kulude kasv </w:t>
            </w:r>
          </w:p>
          <w:p w14:paraId="57BB608E" w14:textId="77777777" w:rsidR="00543295" w:rsidRPr="00B42F50" w:rsidRDefault="00543295" w:rsidP="00D31902">
            <w:pPr>
              <w:jc w:val="both"/>
              <w:rPr>
                <w:sz w:val="22"/>
                <w:szCs w:val="22"/>
              </w:rPr>
            </w:pPr>
          </w:p>
          <w:p w14:paraId="395CE6C9" w14:textId="623DB0AB" w:rsidR="00C6527F" w:rsidRPr="00B42F50" w:rsidRDefault="00CB31F2" w:rsidP="00D31902">
            <w:pPr>
              <w:jc w:val="both"/>
              <w:rPr>
                <w:sz w:val="22"/>
                <w:szCs w:val="22"/>
              </w:rPr>
            </w:pPr>
            <w:r w:rsidRPr="00B42F50">
              <w:rPr>
                <w:sz w:val="22"/>
                <w:szCs w:val="22"/>
              </w:rPr>
              <w:t>Leiame, et eelnõus kavandatud meetmete rakendamine suurendab koormust ja kulusid nii kindlustusandjate kui ka järelevalveasutuste tasandil. Mõju kindlustusandjate halduskoormusele ja kuludele ei tulene niivõrd üksikutest eraldiseisvatest nõuetest, vaid eelnõus kavandatud kohustuste kumulatiivsest mõjust. Kuigi mitmed meetmed on eraldi vaadelduna põhjendatud, lisanduvad need juba olemasolevale ulatuslikule regulatiivsele raamistikule, mistõttu suureneb kindlustusandjate kohustuste kogumaht ning ressursivajadus tervikuna. Oleme seisukohal, et eelnõuga taotletav täiendav raamistik ei loo sellist lisandväärtust, mis oleks proportsionaalne selle rakendamisega kaasnevate kulude ja koormusega.</w:t>
            </w:r>
          </w:p>
        </w:tc>
        <w:tc>
          <w:tcPr>
            <w:tcW w:w="1243" w:type="dxa"/>
          </w:tcPr>
          <w:p w14:paraId="3C0E9193" w14:textId="51E97371" w:rsidR="00C6527F" w:rsidRPr="00B42F50" w:rsidRDefault="008C60E1" w:rsidP="00D31902">
            <w:pPr>
              <w:jc w:val="center"/>
              <w:rPr>
                <w:sz w:val="22"/>
                <w:szCs w:val="22"/>
              </w:rPr>
            </w:pPr>
            <w:r w:rsidRPr="00B42F50">
              <w:rPr>
                <w:sz w:val="22"/>
                <w:szCs w:val="22"/>
              </w:rPr>
              <w:t>Selgitatud</w:t>
            </w:r>
          </w:p>
        </w:tc>
        <w:tc>
          <w:tcPr>
            <w:tcW w:w="3209" w:type="dxa"/>
          </w:tcPr>
          <w:p w14:paraId="2117D47D" w14:textId="74407962" w:rsidR="000211E6" w:rsidRPr="00B42F50" w:rsidRDefault="00701E8E" w:rsidP="00D31902">
            <w:pPr>
              <w:jc w:val="both"/>
              <w:rPr>
                <w:rFonts w:eastAsiaTheme="majorEastAsia"/>
                <w:sz w:val="22"/>
                <w:szCs w:val="22"/>
                <w:lang w:eastAsia="nl-NL"/>
              </w:rPr>
            </w:pPr>
            <w:r w:rsidRPr="00B42F50">
              <w:rPr>
                <w:sz w:val="22"/>
                <w:szCs w:val="22"/>
              </w:rPr>
              <w:t>M</w:t>
            </w:r>
            <w:r w:rsidR="004F6EA0" w:rsidRPr="00B42F50">
              <w:rPr>
                <w:sz w:val="22"/>
                <w:szCs w:val="22"/>
              </w:rPr>
              <w:t>õistame muret seoses eelnõus kavandatud meetmete võimaliku kumulatiivse mõjuga kindlustusandjate ja järelevalveasutuste halduskoormusele ja kuludele. Samas tuleb rõhutada, et eelnõus kavandatud meetmete eesmärk ei ole luua paralleelset või dubleerivat regulatiivset raamistikku, vaid täiendada olemasolevat Solventsus II raamistikku valdkondades, kus kehtiv</w:t>
            </w:r>
            <w:r w:rsidR="00FF731C" w:rsidRPr="00B42F50">
              <w:rPr>
                <w:sz w:val="22"/>
                <w:szCs w:val="22"/>
              </w:rPr>
              <w:t>as</w:t>
            </w:r>
            <w:r w:rsidR="004F6EA0" w:rsidRPr="00B42F50">
              <w:rPr>
                <w:sz w:val="22"/>
                <w:szCs w:val="22"/>
              </w:rPr>
              <w:t xml:space="preserve"> regulatsioon</w:t>
            </w:r>
            <w:r w:rsidR="00FF731C" w:rsidRPr="00B42F50">
              <w:rPr>
                <w:sz w:val="22"/>
                <w:szCs w:val="22"/>
              </w:rPr>
              <w:t xml:space="preserve">is on täheldatud </w:t>
            </w:r>
            <w:r w:rsidR="004F6EA0" w:rsidRPr="00B42F50">
              <w:rPr>
                <w:sz w:val="22"/>
                <w:szCs w:val="22"/>
              </w:rPr>
              <w:t xml:space="preserve"> </w:t>
            </w:r>
            <w:r w:rsidR="00FF731C" w:rsidRPr="00B42F50">
              <w:rPr>
                <w:sz w:val="22"/>
                <w:szCs w:val="22"/>
              </w:rPr>
              <w:t>puudusi</w:t>
            </w:r>
            <w:r w:rsidR="00696329" w:rsidRPr="00B42F50">
              <w:rPr>
                <w:sz w:val="22"/>
                <w:szCs w:val="22"/>
              </w:rPr>
              <w:t xml:space="preserve">, sealhulgas </w:t>
            </w:r>
            <w:r w:rsidR="009C3552" w:rsidRPr="00B42F50">
              <w:rPr>
                <w:sz w:val="22"/>
                <w:szCs w:val="22"/>
              </w:rPr>
              <w:t xml:space="preserve"> puudusi </w:t>
            </w:r>
            <w:r w:rsidR="000211E6" w:rsidRPr="00B42F50">
              <w:rPr>
                <w:sz w:val="22"/>
                <w:szCs w:val="22"/>
              </w:rPr>
              <w:t xml:space="preserve"> (piiriüleste) kindlustusandjate ja kindlustusgruppide järelevalves ning kindlustusvõtjate ebapiisav</w:t>
            </w:r>
            <w:r w:rsidR="009C3552" w:rsidRPr="00B42F50">
              <w:rPr>
                <w:sz w:val="22"/>
                <w:szCs w:val="22"/>
              </w:rPr>
              <w:t>as</w:t>
            </w:r>
            <w:r w:rsidR="000211E6" w:rsidRPr="00B42F50">
              <w:rPr>
                <w:sz w:val="22"/>
                <w:szCs w:val="22"/>
              </w:rPr>
              <w:t xml:space="preserve"> kaitse</w:t>
            </w:r>
            <w:r w:rsidR="009C3552" w:rsidRPr="00B42F50">
              <w:rPr>
                <w:sz w:val="22"/>
                <w:szCs w:val="22"/>
              </w:rPr>
              <w:t>s</w:t>
            </w:r>
            <w:r w:rsidR="000211E6" w:rsidRPr="00B42F50">
              <w:rPr>
                <w:sz w:val="22"/>
                <w:szCs w:val="22"/>
              </w:rPr>
              <w:t xml:space="preserve"> kindlustusandjate raskustesse sattumise korral</w:t>
            </w:r>
            <w:r w:rsidR="009C3552" w:rsidRPr="00B42F50">
              <w:rPr>
                <w:sz w:val="22"/>
                <w:szCs w:val="22"/>
              </w:rPr>
              <w:t xml:space="preserve">. Pädevatel asutustel on </w:t>
            </w:r>
            <w:r w:rsidR="000211E6" w:rsidRPr="00B42F50">
              <w:rPr>
                <w:sz w:val="22"/>
                <w:szCs w:val="22"/>
              </w:rPr>
              <w:t>piiratud  vahendid, et käsitleda võimalikku süsteemse riski kuhjumist kindlustussektoris.</w:t>
            </w:r>
            <w:r w:rsidR="000211E6" w:rsidRPr="00B42F50">
              <w:rPr>
                <w:rFonts w:eastAsiaTheme="majorEastAsia"/>
                <w:sz w:val="22"/>
                <w:szCs w:val="22"/>
                <w:lang w:eastAsia="nl-NL"/>
              </w:rPr>
              <w:t xml:space="preserve"> </w:t>
            </w:r>
          </w:p>
          <w:p w14:paraId="3BBF9E55" w14:textId="2461171A" w:rsidR="003F6214" w:rsidRPr="00B42F50" w:rsidRDefault="003F6214" w:rsidP="00D31902">
            <w:pPr>
              <w:jc w:val="both"/>
              <w:rPr>
                <w:sz w:val="22"/>
                <w:szCs w:val="22"/>
              </w:rPr>
            </w:pPr>
          </w:p>
          <w:p w14:paraId="2AC68AE5" w14:textId="1FFF3031" w:rsidR="00C6527F" w:rsidRPr="00B42F50" w:rsidRDefault="004F6EA0" w:rsidP="00D31902">
            <w:pPr>
              <w:jc w:val="both"/>
              <w:rPr>
                <w:sz w:val="22"/>
                <w:szCs w:val="22"/>
              </w:rPr>
            </w:pPr>
            <w:r w:rsidRPr="00B42F50">
              <w:rPr>
                <w:sz w:val="22"/>
                <w:szCs w:val="22"/>
              </w:rPr>
              <w:t xml:space="preserve">Kuigi üksikute meetmete rakendamine võib suurendada kindlustusandjate halduskoormust, on nende kumulatiivne eesmärk </w:t>
            </w:r>
            <w:r w:rsidR="00045A40" w:rsidRPr="00B42F50">
              <w:rPr>
                <w:sz w:val="22"/>
                <w:szCs w:val="22"/>
              </w:rPr>
              <w:t xml:space="preserve">kaitsta kindlustuse kliente, </w:t>
            </w:r>
            <w:r w:rsidRPr="00B42F50">
              <w:rPr>
                <w:sz w:val="22"/>
                <w:szCs w:val="22"/>
              </w:rPr>
              <w:t xml:space="preserve">vähendada süsteemset riski ning ennetada olukordi, kus probleemide lahendamine eeldaks oluliselt kulukamaid </w:t>
            </w:r>
            <w:r w:rsidR="008506C6" w:rsidRPr="00B42F50">
              <w:rPr>
                <w:sz w:val="22"/>
                <w:szCs w:val="22"/>
              </w:rPr>
              <w:t>lahendusi</w:t>
            </w:r>
            <w:r w:rsidRPr="00B42F50">
              <w:rPr>
                <w:sz w:val="22"/>
                <w:szCs w:val="22"/>
              </w:rPr>
              <w:t xml:space="preserve">, sealhulgas avaliku sektori erakorralist sekkumist. </w:t>
            </w:r>
          </w:p>
        </w:tc>
      </w:tr>
      <w:tr w:rsidR="00D67C81" w:rsidRPr="00B42F50" w14:paraId="011225FE" w14:textId="77777777" w:rsidTr="00EE4822">
        <w:tc>
          <w:tcPr>
            <w:tcW w:w="708" w:type="dxa"/>
          </w:tcPr>
          <w:p w14:paraId="63D7B5CA" w14:textId="26964F7D" w:rsidR="00C6527F" w:rsidRDefault="00790926" w:rsidP="00D31902">
            <w:pPr>
              <w:jc w:val="both"/>
              <w:rPr>
                <w:b/>
                <w:sz w:val="22"/>
                <w:szCs w:val="22"/>
              </w:rPr>
            </w:pPr>
            <w:r>
              <w:rPr>
                <w:b/>
                <w:sz w:val="22"/>
                <w:szCs w:val="22"/>
              </w:rPr>
              <w:t>4</w:t>
            </w:r>
            <w:r w:rsidR="00663B88">
              <w:rPr>
                <w:b/>
                <w:sz w:val="22"/>
                <w:szCs w:val="22"/>
              </w:rPr>
              <w:t>5.</w:t>
            </w:r>
          </w:p>
          <w:p w14:paraId="77B449D0" w14:textId="7EF51626" w:rsidR="00663B88" w:rsidRPr="00B42F50" w:rsidRDefault="00663B88" w:rsidP="00D31902">
            <w:pPr>
              <w:jc w:val="both"/>
              <w:rPr>
                <w:b/>
                <w:sz w:val="22"/>
                <w:szCs w:val="22"/>
              </w:rPr>
            </w:pPr>
            <w:r>
              <w:rPr>
                <w:b/>
                <w:sz w:val="22"/>
                <w:szCs w:val="22"/>
              </w:rPr>
              <w:t>KODA</w:t>
            </w:r>
          </w:p>
        </w:tc>
        <w:tc>
          <w:tcPr>
            <w:tcW w:w="5501" w:type="dxa"/>
          </w:tcPr>
          <w:p w14:paraId="21AC2EAE" w14:textId="3C3E9EF6" w:rsidR="002B3920" w:rsidRDefault="002B3920" w:rsidP="00D31902">
            <w:pPr>
              <w:jc w:val="both"/>
              <w:rPr>
                <w:sz w:val="22"/>
                <w:szCs w:val="22"/>
              </w:rPr>
            </w:pPr>
            <w:r w:rsidRPr="00070736">
              <w:rPr>
                <w:sz w:val="22"/>
                <w:szCs w:val="22"/>
              </w:rPr>
              <w:t>2. Ennetava finantsseisundi taastamise kava koostamise kohustus</w:t>
            </w:r>
          </w:p>
          <w:p w14:paraId="3FF52D12" w14:textId="77777777" w:rsidR="00070736" w:rsidRPr="00070736" w:rsidRDefault="00070736" w:rsidP="00D31902">
            <w:pPr>
              <w:jc w:val="both"/>
              <w:rPr>
                <w:sz w:val="22"/>
                <w:szCs w:val="22"/>
              </w:rPr>
            </w:pPr>
          </w:p>
          <w:p w14:paraId="6587A00D" w14:textId="77777777" w:rsidR="002B3920" w:rsidRPr="00B42F50" w:rsidRDefault="002B3920" w:rsidP="00D31902">
            <w:pPr>
              <w:jc w:val="both"/>
              <w:rPr>
                <w:sz w:val="22"/>
                <w:szCs w:val="22"/>
              </w:rPr>
            </w:pPr>
            <w:r w:rsidRPr="00B42F50">
              <w:rPr>
                <w:sz w:val="22"/>
                <w:szCs w:val="22"/>
              </w:rPr>
              <w:t>Eelnõu § 6 kohaselt tekib teatud kindlustusandjatel kohustus koostada ja ajakohastada ennetav finantsseisundi taastamise kava, mille kohaldamisala määrab Finantsinspektsioon.</w:t>
            </w:r>
          </w:p>
          <w:p w14:paraId="5B9411C2" w14:textId="77777777" w:rsidR="00D60FE1" w:rsidRPr="00B42F50" w:rsidRDefault="002B3920" w:rsidP="00D31902">
            <w:pPr>
              <w:jc w:val="both"/>
              <w:rPr>
                <w:sz w:val="22"/>
                <w:szCs w:val="22"/>
              </w:rPr>
            </w:pPr>
            <w:r w:rsidRPr="00B42F50">
              <w:rPr>
                <w:sz w:val="22"/>
                <w:szCs w:val="22"/>
              </w:rPr>
              <w:t xml:space="preserve">Leiame, et kuigi seletuskirjas (lk 214) on märgitud, et eelnõu väljatöötamise seisuga peaks ennetava finantsseisundi taastamise kava koostamise kohustus Eestis rakenduma vaid ühe kindlustusandja suhtes ning seetõttu on kava koostamise kohustuse praktiline rakendamine Eestis tõenäoliselt väga piiratud, jääb eelnõu sõnastusest tulenevalt kohustuse kohaldamisala õiguslikult avaraks ning sõltuvaks Finantsinspektsiooni tulevasest hinnangust </w:t>
            </w:r>
            <w:r w:rsidRPr="00B42F50">
              <w:rPr>
                <w:sz w:val="22"/>
                <w:szCs w:val="22"/>
              </w:rPr>
              <w:lastRenderedPageBreak/>
              <w:t>ja praktikast. Seetõttu puudub kindlustusandjatel õiguslik kindlus, et sellist kohustust ei võidaks tulevikus siiski kehtestada ka nende suhtes. Kava koostamine ja ajakohasena hoidmine tähendaks</w:t>
            </w:r>
            <w:r w:rsidR="00D60FE1" w:rsidRPr="00B42F50">
              <w:rPr>
                <w:sz w:val="22"/>
                <w:szCs w:val="22"/>
              </w:rPr>
              <w:t xml:space="preserve"> märkimisväärset halduskoormust ning täiendavat ressursivajadust olukorras, kus kindlustusandjate regulatiivne koormus on juba praegu väga suur.</w:t>
            </w:r>
          </w:p>
          <w:p w14:paraId="32850E8B" w14:textId="77777777" w:rsidR="00C906F1" w:rsidRPr="00B42F50" w:rsidRDefault="00C906F1" w:rsidP="00D31902">
            <w:pPr>
              <w:jc w:val="both"/>
              <w:rPr>
                <w:sz w:val="22"/>
                <w:szCs w:val="22"/>
              </w:rPr>
            </w:pPr>
          </w:p>
          <w:p w14:paraId="5A7A34D0" w14:textId="77777777" w:rsidR="00D60FE1" w:rsidRPr="00B42F50" w:rsidRDefault="00D60FE1" w:rsidP="00D31902">
            <w:pPr>
              <w:jc w:val="both"/>
              <w:rPr>
                <w:sz w:val="22"/>
                <w:szCs w:val="22"/>
                <w:u w:val="single"/>
              </w:rPr>
            </w:pPr>
            <w:r w:rsidRPr="00B42F50">
              <w:rPr>
                <w:sz w:val="22"/>
                <w:szCs w:val="22"/>
                <w:u w:val="single"/>
              </w:rPr>
              <w:t>Kaubanduskoja ettepanek:</w:t>
            </w:r>
          </w:p>
          <w:p w14:paraId="1586E5F4" w14:textId="5688B84D" w:rsidR="00C6527F" w:rsidRPr="00B42F50" w:rsidRDefault="00D60FE1" w:rsidP="00D31902">
            <w:pPr>
              <w:jc w:val="both"/>
              <w:rPr>
                <w:sz w:val="22"/>
                <w:szCs w:val="22"/>
              </w:rPr>
            </w:pPr>
            <w:r w:rsidRPr="00B42F50">
              <w:rPr>
                <w:sz w:val="22"/>
                <w:szCs w:val="22"/>
              </w:rPr>
              <w:t>Palume eelnõu seletuskirjas täpsustada kriteeriume, mille alusel kindlustusandjatele ennetava finantsseisundi taastamise kava kohustus pannakse, et seeläbi suurendada õigusselgust ja prognoositavust kindlustusandjate jaoks.</w:t>
            </w:r>
          </w:p>
        </w:tc>
        <w:tc>
          <w:tcPr>
            <w:tcW w:w="1243" w:type="dxa"/>
          </w:tcPr>
          <w:p w14:paraId="733090D6" w14:textId="7B110887" w:rsidR="00C6527F" w:rsidRPr="00B42F50" w:rsidRDefault="00340D76" w:rsidP="00D31902">
            <w:pPr>
              <w:jc w:val="both"/>
              <w:rPr>
                <w:sz w:val="22"/>
                <w:szCs w:val="22"/>
              </w:rPr>
            </w:pPr>
            <w:r w:rsidRPr="00B42F50">
              <w:rPr>
                <w:sz w:val="22"/>
                <w:szCs w:val="22"/>
              </w:rPr>
              <w:lastRenderedPageBreak/>
              <w:t>Selgitatud</w:t>
            </w:r>
          </w:p>
        </w:tc>
        <w:tc>
          <w:tcPr>
            <w:tcW w:w="3209" w:type="dxa"/>
          </w:tcPr>
          <w:p w14:paraId="03A68199" w14:textId="6AFFB62D" w:rsidR="00C6527F" w:rsidRPr="00B42F50" w:rsidRDefault="00F35726" w:rsidP="00D31902">
            <w:pPr>
              <w:jc w:val="both"/>
              <w:rPr>
                <w:sz w:val="22"/>
                <w:szCs w:val="22"/>
              </w:rPr>
            </w:pPr>
            <w:r w:rsidRPr="00B42F50">
              <w:rPr>
                <w:sz w:val="22"/>
                <w:szCs w:val="22"/>
              </w:rPr>
              <w:t>Ju</w:t>
            </w:r>
            <w:r w:rsidRPr="00FD484F">
              <w:rPr>
                <w:sz w:val="22"/>
                <w:szCs w:val="22"/>
              </w:rPr>
              <w:t xml:space="preserve">hime tähelepanu seletuskirja lk </w:t>
            </w:r>
            <w:r w:rsidR="00FD484F" w:rsidRPr="00FD484F">
              <w:rPr>
                <w:sz w:val="22"/>
                <w:szCs w:val="22"/>
              </w:rPr>
              <w:t>26-27</w:t>
            </w:r>
            <w:r w:rsidR="009E076D" w:rsidRPr="00FD484F">
              <w:rPr>
                <w:sz w:val="22"/>
                <w:szCs w:val="22"/>
              </w:rPr>
              <w:t>, kus</w:t>
            </w:r>
            <w:r w:rsidR="009E076D" w:rsidRPr="00B42F50">
              <w:rPr>
                <w:sz w:val="22"/>
                <w:szCs w:val="22"/>
              </w:rPr>
              <w:t xml:space="preserve"> on esitatud põhjalik selgitus selle kohta, </w:t>
            </w:r>
            <w:r w:rsidR="0012354F" w:rsidRPr="00B42F50">
              <w:rPr>
                <w:sz w:val="22"/>
                <w:szCs w:val="22"/>
              </w:rPr>
              <w:t xml:space="preserve">kuidas </w:t>
            </w:r>
            <w:r w:rsidR="0036360C" w:rsidRPr="00B42F50">
              <w:rPr>
                <w:sz w:val="22"/>
                <w:szCs w:val="22"/>
              </w:rPr>
              <w:t>tuleks määrata</w:t>
            </w:r>
            <w:r w:rsidR="0012354F" w:rsidRPr="00B42F50">
              <w:rPr>
                <w:sz w:val="22"/>
                <w:szCs w:val="22"/>
              </w:rPr>
              <w:t xml:space="preserve"> kindlustusandjad, kes peavad esitama ennetava finantsseisundi taastamise kava. </w:t>
            </w:r>
            <w:r w:rsidR="0040530D" w:rsidRPr="00B42F50">
              <w:rPr>
                <w:sz w:val="22"/>
                <w:szCs w:val="22"/>
              </w:rPr>
              <w:t>Täpsemad kriteeriumid kehtestatakse komisjoni määruses</w:t>
            </w:r>
            <w:r w:rsidR="00A50D47" w:rsidRPr="00B42F50">
              <w:rPr>
                <w:sz w:val="22"/>
                <w:szCs w:val="22"/>
              </w:rPr>
              <w:t>, mille kavand</w:t>
            </w:r>
            <w:r w:rsidR="003D4C38" w:rsidRPr="00B42F50">
              <w:rPr>
                <w:sz w:val="22"/>
                <w:szCs w:val="22"/>
              </w:rPr>
              <w:t>i</w:t>
            </w:r>
            <w:r w:rsidR="008322C0" w:rsidRPr="00B42F50">
              <w:rPr>
                <w:sz w:val="22"/>
                <w:szCs w:val="22"/>
              </w:rPr>
              <w:t xml:space="preserve">ga on olnud võimalik </w:t>
            </w:r>
            <w:r w:rsidR="00EF24A0" w:rsidRPr="00B42F50">
              <w:rPr>
                <w:sz w:val="22"/>
                <w:szCs w:val="22"/>
              </w:rPr>
              <w:t>huvirühma</w:t>
            </w:r>
            <w:r w:rsidR="0049365E" w:rsidRPr="00B42F50">
              <w:rPr>
                <w:sz w:val="22"/>
                <w:szCs w:val="22"/>
              </w:rPr>
              <w:t xml:space="preserve">del </w:t>
            </w:r>
            <w:r w:rsidR="008322C0" w:rsidRPr="00B42F50">
              <w:rPr>
                <w:sz w:val="22"/>
                <w:szCs w:val="22"/>
              </w:rPr>
              <w:t xml:space="preserve">tutvuda ja </w:t>
            </w:r>
            <w:r w:rsidR="0049365E" w:rsidRPr="00B42F50">
              <w:rPr>
                <w:sz w:val="22"/>
                <w:szCs w:val="22"/>
              </w:rPr>
              <w:t xml:space="preserve">esitada </w:t>
            </w:r>
            <w:r w:rsidR="008322C0" w:rsidRPr="00B42F50">
              <w:rPr>
                <w:sz w:val="22"/>
                <w:szCs w:val="22"/>
              </w:rPr>
              <w:t xml:space="preserve">kommentaare </w:t>
            </w:r>
            <w:hyperlink r:id="rId16" w:history="1">
              <w:r w:rsidR="005F6936" w:rsidRPr="00B42F50">
                <w:rPr>
                  <w:rStyle w:val="Hperlink"/>
                  <w:sz w:val="22"/>
                  <w:szCs w:val="22"/>
                </w:rPr>
                <w:t>EIOPA konsultatsiooni raames</w:t>
              </w:r>
            </w:hyperlink>
            <w:r w:rsidR="0040530D" w:rsidRPr="00B42F50">
              <w:rPr>
                <w:sz w:val="22"/>
                <w:szCs w:val="22"/>
              </w:rPr>
              <w:t>.</w:t>
            </w:r>
          </w:p>
          <w:p w14:paraId="4B63112C" w14:textId="77777777" w:rsidR="0012354F" w:rsidRPr="00B42F50" w:rsidRDefault="0012354F" w:rsidP="00D31902">
            <w:pPr>
              <w:jc w:val="both"/>
              <w:rPr>
                <w:sz w:val="22"/>
                <w:szCs w:val="22"/>
              </w:rPr>
            </w:pPr>
          </w:p>
          <w:p w14:paraId="520ABD6F" w14:textId="0155D7EB" w:rsidR="0012354F" w:rsidRPr="00B42F50" w:rsidRDefault="001847BD" w:rsidP="00D31902">
            <w:pPr>
              <w:jc w:val="both"/>
              <w:rPr>
                <w:sz w:val="22"/>
                <w:szCs w:val="22"/>
              </w:rPr>
            </w:pPr>
            <w:r w:rsidRPr="00B42F50">
              <w:rPr>
                <w:rFonts w:eastAsiaTheme="majorEastAsia"/>
                <w:sz w:val="22"/>
                <w:szCs w:val="22"/>
                <w:lang w:eastAsia="nl-NL"/>
              </w:rPr>
              <w:t xml:space="preserve">2026. aasta 16. veebruaril avaldas </w:t>
            </w:r>
            <w:hyperlink r:id="rId17" w:history="1">
              <w:r w:rsidRPr="00B42F50">
                <w:rPr>
                  <w:rStyle w:val="Hperlink"/>
                  <w:rFonts w:eastAsiaTheme="majorEastAsia"/>
                  <w:sz w:val="22"/>
                  <w:szCs w:val="22"/>
                  <w:lang w:eastAsia="nl-NL"/>
                </w:rPr>
                <w:t xml:space="preserve">EIOPA raporti ennetava </w:t>
              </w:r>
              <w:r w:rsidRPr="00B42F50">
                <w:rPr>
                  <w:rStyle w:val="Hperlink"/>
                  <w:rFonts w:eastAsiaTheme="majorEastAsia"/>
                  <w:sz w:val="22"/>
                  <w:szCs w:val="22"/>
                  <w:lang w:eastAsia="nl-NL"/>
                </w:rPr>
                <w:lastRenderedPageBreak/>
                <w:t>finantsseisundi taastamise kava nõuete ning turuosade kindlaksmääramisel kasutatavate meetodite kriteeriume käsitleva RTS eelnõu kohta</w:t>
              </w:r>
            </w:hyperlink>
            <w:r w:rsidRPr="00B42F50">
              <w:rPr>
                <w:rFonts w:eastAsiaTheme="majorEastAsia"/>
                <w:sz w:val="22"/>
                <w:szCs w:val="22"/>
                <w:lang w:eastAsia="nl-NL"/>
              </w:rPr>
              <w:t>.</w:t>
            </w:r>
          </w:p>
        </w:tc>
      </w:tr>
      <w:tr w:rsidR="00D67C81" w:rsidRPr="00B42F50" w14:paraId="602EB022" w14:textId="77777777" w:rsidTr="00EE4822">
        <w:tc>
          <w:tcPr>
            <w:tcW w:w="708" w:type="dxa"/>
          </w:tcPr>
          <w:p w14:paraId="3EA930EA" w14:textId="57A91797" w:rsidR="00EC63B4" w:rsidRDefault="00790926" w:rsidP="00D31902">
            <w:pPr>
              <w:jc w:val="both"/>
              <w:rPr>
                <w:b/>
                <w:sz w:val="22"/>
                <w:szCs w:val="22"/>
              </w:rPr>
            </w:pPr>
            <w:r>
              <w:rPr>
                <w:b/>
                <w:sz w:val="22"/>
                <w:szCs w:val="22"/>
              </w:rPr>
              <w:lastRenderedPageBreak/>
              <w:t>4</w:t>
            </w:r>
            <w:r w:rsidR="00663B88">
              <w:rPr>
                <w:b/>
                <w:sz w:val="22"/>
                <w:szCs w:val="22"/>
              </w:rPr>
              <w:t xml:space="preserve">6. </w:t>
            </w:r>
          </w:p>
          <w:p w14:paraId="4E199B1F" w14:textId="4082E25B" w:rsidR="00663B88" w:rsidRPr="00B42F50" w:rsidRDefault="00663B88" w:rsidP="00D31902">
            <w:pPr>
              <w:jc w:val="both"/>
              <w:rPr>
                <w:b/>
                <w:sz w:val="22"/>
                <w:szCs w:val="22"/>
              </w:rPr>
            </w:pPr>
            <w:r>
              <w:rPr>
                <w:b/>
                <w:sz w:val="22"/>
                <w:szCs w:val="22"/>
              </w:rPr>
              <w:t>KODA</w:t>
            </w:r>
          </w:p>
        </w:tc>
        <w:tc>
          <w:tcPr>
            <w:tcW w:w="5501" w:type="dxa"/>
          </w:tcPr>
          <w:p w14:paraId="32CDD5F0" w14:textId="6B3F4998" w:rsidR="006A3757" w:rsidRDefault="006A3757" w:rsidP="00D31902">
            <w:pPr>
              <w:jc w:val="both"/>
              <w:rPr>
                <w:sz w:val="22"/>
                <w:szCs w:val="22"/>
              </w:rPr>
            </w:pPr>
            <w:r w:rsidRPr="00070736">
              <w:rPr>
                <w:sz w:val="22"/>
                <w:szCs w:val="22"/>
              </w:rPr>
              <w:t>3. Kriisilahenduse osafond ja selle rahastamine</w:t>
            </w:r>
          </w:p>
          <w:p w14:paraId="571A7893" w14:textId="77777777" w:rsidR="00070736" w:rsidRPr="00070736" w:rsidRDefault="00070736" w:rsidP="00D31902">
            <w:pPr>
              <w:jc w:val="both"/>
              <w:rPr>
                <w:sz w:val="22"/>
                <w:szCs w:val="22"/>
              </w:rPr>
            </w:pPr>
          </w:p>
          <w:p w14:paraId="1D9539E5" w14:textId="77777777" w:rsidR="006A3757" w:rsidRPr="00B42F50" w:rsidRDefault="006A3757" w:rsidP="00D31902">
            <w:pPr>
              <w:jc w:val="both"/>
              <w:rPr>
                <w:sz w:val="22"/>
                <w:szCs w:val="22"/>
              </w:rPr>
            </w:pPr>
            <w:r w:rsidRPr="00B42F50">
              <w:rPr>
                <w:sz w:val="22"/>
                <w:szCs w:val="22"/>
              </w:rPr>
              <w:t>Eelnõu § 92 punkti 5 (tagatisfondi seadus § 4 lg 1 p 6) kohaselt luuakse Tagatisfondi juurde kindlustusandjate kriisilahenduse osafond, mida kindlustusandjad peavad hakkama rahastama.</w:t>
            </w:r>
          </w:p>
          <w:p w14:paraId="00DADAA4" w14:textId="77777777" w:rsidR="006A3757" w:rsidRPr="00B42F50" w:rsidRDefault="006A3757" w:rsidP="00D31902">
            <w:pPr>
              <w:jc w:val="both"/>
              <w:rPr>
                <w:sz w:val="22"/>
                <w:szCs w:val="22"/>
              </w:rPr>
            </w:pPr>
            <w:r w:rsidRPr="00B42F50">
              <w:rPr>
                <w:sz w:val="22"/>
                <w:szCs w:val="22"/>
              </w:rPr>
              <w:t xml:space="preserve">Kuigi seletuskirjas (lk 217) on märgitud, et osafondi rahastamine toimub tagantjärele ehk osamaksete tegemisega alustatakse alles siis, kui mõne kindlustusandja suhtes tehakse otsus kriisilahenduse algatamiseks ning selline lähenemine peaks vähendama kindlustusandjate kohest rahalist koormust, on sellise mehhanismi probleemiks siiski kehv </w:t>
            </w:r>
            <w:proofErr w:type="spellStart"/>
            <w:r w:rsidRPr="00B42F50">
              <w:rPr>
                <w:sz w:val="22"/>
                <w:szCs w:val="22"/>
              </w:rPr>
              <w:t>prognoositavus</w:t>
            </w:r>
            <w:proofErr w:type="spellEnd"/>
            <w:r w:rsidRPr="00B42F50">
              <w:rPr>
                <w:sz w:val="22"/>
                <w:szCs w:val="22"/>
              </w:rPr>
              <w:t>. Kuna kindlustusandjate tasutud osafondi tehtud maksete suurus võib ulatuda kuni 2%-</w:t>
            </w:r>
            <w:proofErr w:type="spellStart"/>
            <w:r w:rsidRPr="00B42F50">
              <w:rPr>
                <w:sz w:val="22"/>
                <w:szCs w:val="22"/>
              </w:rPr>
              <w:t>ni</w:t>
            </w:r>
            <w:proofErr w:type="spellEnd"/>
            <w:r w:rsidRPr="00B42F50">
              <w:rPr>
                <w:sz w:val="22"/>
                <w:szCs w:val="22"/>
              </w:rPr>
              <w:t xml:space="preserve"> kindlustusmaksete mahust, on tegemist märkimisväärse rahalise kohustusega arvestades asjaoluga, et maksete tegemise kohustus ei sõltu konkreetse kindlustusandja enda riskikäitumisest. Probleemsem on see kindlustusliikides, kus tiheda hinnakonkurentsi tõttu ei ole kindlustusandjatel võimalik täiendavaid kulusid kindlustusmaksetesse üle kanda, ilma et see mõjutaks nende konkurentsivõimet ja kliendibaasi. </w:t>
            </w:r>
          </w:p>
          <w:p w14:paraId="228F48DE" w14:textId="77777777" w:rsidR="0053012C" w:rsidRPr="00B42F50" w:rsidRDefault="0053012C" w:rsidP="00D31902">
            <w:pPr>
              <w:jc w:val="both"/>
              <w:rPr>
                <w:sz w:val="22"/>
                <w:szCs w:val="22"/>
              </w:rPr>
            </w:pPr>
          </w:p>
          <w:p w14:paraId="67026DE3" w14:textId="77777777" w:rsidR="006A3757" w:rsidRPr="00B42F50" w:rsidRDefault="006A3757" w:rsidP="00D31902">
            <w:pPr>
              <w:jc w:val="both"/>
              <w:rPr>
                <w:sz w:val="22"/>
                <w:szCs w:val="22"/>
                <w:u w:val="single"/>
              </w:rPr>
            </w:pPr>
            <w:r w:rsidRPr="00B42F50">
              <w:rPr>
                <w:sz w:val="22"/>
                <w:szCs w:val="22"/>
                <w:u w:val="single"/>
              </w:rPr>
              <w:t>Kaubanduskoja ettepanek:</w:t>
            </w:r>
          </w:p>
          <w:p w14:paraId="4760DF1C" w14:textId="3A845F55" w:rsidR="00EC63B4" w:rsidRPr="00B42F50" w:rsidRDefault="006A3757" w:rsidP="00D31902">
            <w:pPr>
              <w:jc w:val="both"/>
              <w:rPr>
                <w:sz w:val="22"/>
                <w:szCs w:val="22"/>
              </w:rPr>
            </w:pPr>
            <w:r w:rsidRPr="00B42F50">
              <w:rPr>
                <w:sz w:val="22"/>
                <w:szCs w:val="22"/>
              </w:rPr>
              <w:t xml:space="preserve">Me mõistame, et kriisilahenduse osafondi loomise nõue tuleneb ELi õigusest, täpsemalt IRRD direktiivist, ning see tuleb Eesti õigusesse üle võtta. Näeme positiivsena seda, et kindlustusandjatel ei teki osafondi rahastamise kohustust automaatselt, vaid üksnes juhul, kui mõne kindlustusandja suhtes on juba algatatud kriisilahendus ning tekib vajadus kasutada rahalisi vahendeid. Teisalt tähendab selline lähenemine, et kindlustusandjad peavad oma tegevuses arvestama potentsiaalse rahalise kohustusega, mille täitmise ajastust ja täpset ulatust pole võimalik prognoosida. Asjaolu, et osafondi rahastamise kohustus võib kaasneda, kuid ei pruugi, võib vähendada kindlustusandjate kindlustunnet ja mõjutada negatiivselt nende finantsplaneerimist. </w:t>
            </w:r>
          </w:p>
        </w:tc>
        <w:tc>
          <w:tcPr>
            <w:tcW w:w="1243" w:type="dxa"/>
          </w:tcPr>
          <w:p w14:paraId="6A5C0FC2" w14:textId="7549688F" w:rsidR="00EC63B4" w:rsidRPr="00B42F50" w:rsidRDefault="000A176A" w:rsidP="00D31902">
            <w:pPr>
              <w:jc w:val="both"/>
              <w:rPr>
                <w:sz w:val="22"/>
                <w:szCs w:val="22"/>
              </w:rPr>
            </w:pPr>
            <w:r w:rsidRPr="00B42F50">
              <w:rPr>
                <w:sz w:val="22"/>
                <w:szCs w:val="22"/>
              </w:rPr>
              <w:t xml:space="preserve">Selgitatud </w:t>
            </w:r>
          </w:p>
        </w:tc>
        <w:tc>
          <w:tcPr>
            <w:tcW w:w="3209" w:type="dxa"/>
          </w:tcPr>
          <w:p w14:paraId="677EA770" w14:textId="251A26BB" w:rsidR="003D2AD7" w:rsidRPr="00B42F50" w:rsidRDefault="00A43AEF" w:rsidP="00D31902">
            <w:pPr>
              <w:jc w:val="both"/>
              <w:rPr>
                <w:sz w:val="22"/>
                <w:szCs w:val="22"/>
              </w:rPr>
            </w:pPr>
            <w:r w:rsidRPr="00B42F50">
              <w:rPr>
                <w:sz w:val="22"/>
                <w:szCs w:val="22"/>
              </w:rPr>
              <w:t>Nõustume esitatud järeldus</w:t>
            </w:r>
            <w:r w:rsidR="00E80E70" w:rsidRPr="00B42F50">
              <w:rPr>
                <w:sz w:val="22"/>
                <w:szCs w:val="22"/>
              </w:rPr>
              <w:t>ega</w:t>
            </w:r>
            <w:r w:rsidR="00EE1E36" w:rsidRPr="00B42F50">
              <w:rPr>
                <w:sz w:val="22"/>
                <w:szCs w:val="22"/>
              </w:rPr>
              <w:t xml:space="preserve">. </w:t>
            </w:r>
            <w:r w:rsidR="000A176A" w:rsidRPr="00B42F50">
              <w:rPr>
                <w:sz w:val="22"/>
                <w:szCs w:val="22"/>
              </w:rPr>
              <w:t xml:space="preserve">Eelnõu väljatöötamisel </w:t>
            </w:r>
            <w:r w:rsidR="00271922" w:rsidRPr="00B42F50">
              <w:rPr>
                <w:sz w:val="22"/>
                <w:szCs w:val="22"/>
              </w:rPr>
              <w:t>analüüsi</w:t>
            </w:r>
            <w:r w:rsidR="00FA23AD" w:rsidRPr="00B42F50">
              <w:rPr>
                <w:sz w:val="22"/>
                <w:szCs w:val="22"/>
              </w:rPr>
              <w:t>s</w:t>
            </w:r>
            <w:r w:rsidR="00C526D1" w:rsidRPr="00B42F50">
              <w:rPr>
                <w:sz w:val="22"/>
                <w:szCs w:val="22"/>
              </w:rPr>
              <w:t>ime</w:t>
            </w:r>
            <w:r w:rsidR="00271922" w:rsidRPr="00B42F50">
              <w:rPr>
                <w:sz w:val="22"/>
                <w:szCs w:val="22"/>
              </w:rPr>
              <w:t xml:space="preserve"> </w:t>
            </w:r>
            <w:r w:rsidR="00DD762B" w:rsidRPr="00B42F50">
              <w:rPr>
                <w:sz w:val="22"/>
                <w:szCs w:val="22"/>
              </w:rPr>
              <w:t xml:space="preserve">erinevaid rahastusmudeleid (vt ka seletuskirja punkti </w:t>
            </w:r>
            <w:r w:rsidR="0008297B" w:rsidRPr="00B42F50">
              <w:rPr>
                <w:sz w:val="22"/>
                <w:szCs w:val="22"/>
              </w:rPr>
              <w:t>2.3.2 alampunkti 13)</w:t>
            </w:r>
            <w:r w:rsidR="000267AD" w:rsidRPr="00B42F50">
              <w:rPr>
                <w:sz w:val="22"/>
                <w:szCs w:val="22"/>
              </w:rPr>
              <w:t xml:space="preserve">, </w:t>
            </w:r>
            <w:r w:rsidR="000A176A" w:rsidRPr="00B42F50">
              <w:rPr>
                <w:sz w:val="22"/>
                <w:szCs w:val="22"/>
              </w:rPr>
              <w:t>konsulteeri</w:t>
            </w:r>
            <w:r w:rsidR="005D5F28" w:rsidRPr="00B42F50">
              <w:rPr>
                <w:sz w:val="22"/>
                <w:szCs w:val="22"/>
              </w:rPr>
              <w:t>sime</w:t>
            </w:r>
            <w:r w:rsidR="000A176A" w:rsidRPr="00B42F50">
              <w:rPr>
                <w:sz w:val="22"/>
                <w:szCs w:val="22"/>
              </w:rPr>
              <w:t xml:space="preserve"> </w:t>
            </w:r>
            <w:r w:rsidR="00E52AEF" w:rsidRPr="00B42F50">
              <w:rPr>
                <w:sz w:val="22"/>
                <w:szCs w:val="22"/>
              </w:rPr>
              <w:t>selles</w:t>
            </w:r>
            <w:r w:rsidR="000A176A" w:rsidRPr="00B42F50">
              <w:rPr>
                <w:sz w:val="22"/>
                <w:szCs w:val="22"/>
              </w:rPr>
              <w:t xml:space="preserve"> küsimuses nii Finantsinspektsiooni kui ka Eesti Kindlustusselt</w:t>
            </w:r>
            <w:r w:rsidR="007377CE" w:rsidRPr="00B42F50">
              <w:rPr>
                <w:sz w:val="22"/>
                <w:szCs w:val="22"/>
              </w:rPr>
              <w:t xml:space="preserve">side Liiduga ning </w:t>
            </w:r>
            <w:r w:rsidR="00F95516" w:rsidRPr="00B42F50">
              <w:rPr>
                <w:sz w:val="22"/>
                <w:szCs w:val="22"/>
              </w:rPr>
              <w:t xml:space="preserve">jõudsime </w:t>
            </w:r>
            <w:r w:rsidR="00EC54D7" w:rsidRPr="00B42F50">
              <w:rPr>
                <w:sz w:val="22"/>
                <w:szCs w:val="22"/>
              </w:rPr>
              <w:t xml:space="preserve">ühisele </w:t>
            </w:r>
            <w:r w:rsidR="00F95516" w:rsidRPr="00B42F50">
              <w:rPr>
                <w:sz w:val="22"/>
                <w:szCs w:val="22"/>
              </w:rPr>
              <w:t xml:space="preserve">järeldusele, et </w:t>
            </w:r>
            <w:r w:rsidR="007377CE" w:rsidRPr="00B42F50">
              <w:rPr>
                <w:sz w:val="22"/>
                <w:szCs w:val="22"/>
              </w:rPr>
              <w:t xml:space="preserve"> </w:t>
            </w:r>
            <w:r w:rsidR="00D67C81" w:rsidRPr="00B42F50">
              <w:rPr>
                <w:sz w:val="22"/>
                <w:szCs w:val="22"/>
              </w:rPr>
              <w:t>Eesti kindlustustur</w:t>
            </w:r>
            <w:r w:rsidR="00121B1B" w:rsidRPr="00B42F50">
              <w:rPr>
                <w:sz w:val="22"/>
                <w:szCs w:val="22"/>
              </w:rPr>
              <w:t xml:space="preserve">u vaates on </w:t>
            </w:r>
            <w:r w:rsidR="007377CE" w:rsidRPr="00B42F50">
              <w:rPr>
                <w:sz w:val="22"/>
                <w:szCs w:val="22"/>
              </w:rPr>
              <w:t xml:space="preserve">asjakohane rakendada </w:t>
            </w:r>
            <w:r w:rsidRPr="00B42F50">
              <w:rPr>
                <w:sz w:val="22"/>
                <w:szCs w:val="22"/>
              </w:rPr>
              <w:t>tagantjärele rahastamise mudelit</w:t>
            </w:r>
            <w:r w:rsidR="00307E44" w:rsidRPr="00B42F50">
              <w:rPr>
                <w:sz w:val="22"/>
                <w:szCs w:val="22"/>
              </w:rPr>
              <w:t>.</w:t>
            </w:r>
            <w:r w:rsidR="00121B1B" w:rsidRPr="00B42F50">
              <w:rPr>
                <w:sz w:val="22"/>
                <w:szCs w:val="22"/>
              </w:rPr>
              <w:t xml:space="preserve"> </w:t>
            </w:r>
          </w:p>
          <w:p w14:paraId="257FAFF8" w14:textId="77777777" w:rsidR="00913BAB" w:rsidRPr="00B42F50" w:rsidRDefault="00913BAB" w:rsidP="00D31902">
            <w:pPr>
              <w:jc w:val="both"/>
              <w:rPr>
                <w:i/>
                <w:iCs/>
                <w:sz w:val="22"/>
                <w:szCs w:val="22"/>
              </w:rPr>
            </w:pPr>
          </w:p>
          <w:p w14:paraId="68D57677" w14:textId="416C1CE4" w:rsidR="00913BAB" w:rsidRPr="00B42F50" w:rsidRDefault="00913BAB" w:rsidP="00D31902">
            <w:pPr>
              <w:jc w:val="both"/>
              <w:rPr>
                <w:i/>
                <w:iCs/>
                <w:sz w:val="22"/>
                <w:szCs w:val="22"/>
              </w:rPr>
            </w:pPr>
          </w:p>
        </w:tc>
      </w:tr>
      <w:tr w:rsidR="00D67C81" w:rsidRPr="00B42F50" w14:paraId="3D645B91" w14:textId="77777777" w:rsidTr="00EE4822">
        <w:tc>
          <w:tcPr>
            <w:tcW w:w="708" w:type="dxa"/>
          </w:tcPr>
          <w:p w14:paraId="151174A9" w14:textId="0E85D819" w:rsidR="00EC63B4" w:rsidRDefault="00790926" w:rsidP="00D31902">
            <w:pPr>
              <w:jc w:val="both"/>
              <w:rPr>
                <w:b/>
                <w:sz w:val="22"/>
                <w:szCs w:val="22"/>
              </w:rPr>
            </w:pPr>
            <w:r>
              <w:rPr>
                <w:b/>
                <w:sz w:val="22"/>
                <w:szCs w:val="22"/>
              </w:rPr>
              <w:t>4</w:t>
            </w:r>
            <w:r w:rsidR="00663B88">
              <w:rPr>
                <w:b/>
                <w:sz w:val="22"/>
                <w:szCs w:val="22"/>
              </w:rPr>
              <w:t>7.</w:t>
            </w:r>
          </w:p>
          <w:p w14:paraId="1963AD92" w14:textId="4E341FDB" w:rsidR="00663B88" w:rsidRPr="00B42F50" w:rsidRDefault="00663B88" w:rsidP="00D31902">
            <w:pPr>
              <w:jc w:val="both"/>
              <w:rPr>
                <w:b/>
                <w:sz w:val="22"/>
                <w:szCs w:val="22"/>
              </w:rPr>
            </w:pPr>
            <w:r>
              <w:rPr>
                <w:b/>
                <w:sz w:val="22"/>
                <w:szCs w:val="22"/>
              </w:rPr>
              <w:t>KODA</w:t>
            </w:r>
          </w:p>
        </w:tc>
        <w:tc>
          <w:tcPr>
            <w:tcW w:w="5501" w:type="dxa"/>
          </w:tcPr>
          <w:p w14:paraId="20091563" w14:textId="6CA59CCA" w:rsidR="00B154A8" w:rsidRDefault="00B154A8" w:rsidP="00D31902">
            <w:pPr>
              <w:jc w:val="both"/>
              <w:rPr>
                <w:sz w:val="22"/>
                <w:szCs w:val="22"/>
              </w:rPr>
            </w:pPr>
            <w:r w:rsidRPr="00070736">
              <w:rPr>
                <w:sz w:val="22"/>
                <w:szCs w:val="22"/>
              </w:rPr>
              <w:t>4. Juhtorganite liikmete mitmekesistamise nõue</w:t>
            </w:r>
          </w:p>
          <w:p w14:paraId="4BDA9C99" w14:textId="77777777" w:rsidR="00070736" w:rsidRPr="00070736" w:rsidRDefault="00070736" w:rsidP="00D31902">
            <w:pPr>
              <w:jc w:val="both"/>
              <w:rPr>
                <w:sz w:val="22"/>
                <w:szCs w:val="22"/>
              </w:rPr>
            </w:pPr>
          </w:p>
          <w:p w14:paraId="1786499D" w14:textId="77777777" w:rsidR="00B154A8" w:rsidRPr="00B42F50" w:rsidRDefault="00B154A8" w:rsidP="00D31902">
            <w:pPr>
              <w:jc w:val="both"/>
              <w:rPr>
                <w:sz w:val="22"/>
                <w:szCs w:val="22"/>
              </w:rPr>
            </w:pPr>
            <w:r w:rsidRPr="00B42F50">
              <w:rPr>
                <w:sz w:val="22"/>
                <w:szCs w:val="22"/>
              </w:rPr>
              <w:t>Eelnõu § 89 punkti 90 (kindlustustegevuse seaduse (edaspidi KindlTS) § 105 lg 2 p 7</w:t>
            </w:r>
            <w:r w:rsidRPr="00B42F50">
              <w:rPr>
                <w:sz w:val="22"/>
                <w:szCs w:val="22"/>
                <w:vertAlign w:val="superscript"/>
              </w:rPr>
              <w:t>2</w:t>
            </w:r>
            <w:r w:rsidRPr="00B42F50">
              <w:rPr>
                <w:sz w:val="22"/>
                <w:szCs w:val="22"/>
              </w:rPr>
              <w:t xml:space="preserve">) kohaselt tuleb </w:t>
            </w:r>
            <w:r w:rsidRPr="00B42F50">
              <w:rPr>
                <w:sz w:val="22"/>
                <w:szCs w:val="22"/>
              </w:rPr>
              <w:lastRenderedPageBreak/>
              <w:t>kindlustusandjatel kehtestada juhatuses ja nõukogus mitmekesisuse edendamise kord.</w:t>
            </w:r>
          </w:p>
          <w:p w14:paraId="6D980248" w14:textId="77777777" w:rsidR="0027415B" w:rsidRPr="00B42F50" w:rsidRDefault="00B154A8" w:rsidP="00D31902">
            <w:pPr>
              <w:jc w:val="both"/>
              <w:rPr>
                <w:sz w:val="22"/>
                <w:szCs w:val="22"/>
              </w:rPr>
            </w:pPr>
            <w:r w:rsidRPr="00B42F50">
              <w:rPr>
                <w:sz w:val="22"/>
                <w:szCs w:val="22"/>
              </w:rPr>
              <w:t>Kaubanduskoda toetab juhtorganite mitmekesisuse edendamist kui üldist eesmärki ning mõistame selle seost juhtimise kvaliteedi ja otsustusprotsesside tasakaalustatusega. Samas leiame, et kavandatav seaduse täiendus tekitab praktikas mitmeid probleeme, eelkõige väikese koosseisuga juhtorganite puhul, mis on Eesti kindlustusturul levinud. Juhtorganite liikmete arvu piiratus tähendab, et kvantitatiivsete soolise tasakaalu</w:t>
            </w:r>
            <w:r w:rsidR="0027415B" w:rsidRPr="00B42F50">
              <w:rPr>
                <w:sz w:val="22"/>
                <w:szCs w:val="22"/>
              </w:rPr>
              <w:t xml:space="preserve"> eesmärkide jäik rakendamine võib viia olukorrani, kus muidu igati sobiva, pädeva ja kogenud kandidaadi nimetamine juhtorganisse osutub problemaatiliseks üksnes soolise tasakaalu nõude tõttu. Selline lähenemine võib kitsendada pädevate kandidaatide ringi ning mõjutada negatiivselt juhtorgani tõhusat toimimist. Väikese turu tingimustes, kus kvalifitseeritud spetsialistide ring on niigi piiratud, võib sellise nõude mõju osutuda ebaproportsionaalseks.</w:t>
            </w:r>
          </w:p>
          <w:p w14:paraId="652C9C17" w14:textId="77777777" w:rsidR="0053012C" w:rsidRPr="00B42F50" w:rsidRDefault="0053012C" w:rsidP="00D31902">
            <w:pPr>
              <w:jc w:val="both"/>
              <w:rPr>
                <w:sz w:val="22"/>
                <w:szCs w:val="22"/>
              </w:rPr>
            </w:pPr>
          </w:p>
          <w:p w14:paraId="7B9C8840" w14:textId="77777777" w:rsidR="0027415B" w:rsidRPr="00B42F50" w:rsidRDefault="0027415B" w:rsidP="00D31902">
            <w:pPr>
              <w:jc w:val="both"/>
              <w:rPr>
                <w:sz w:val="22"/>
                <w:szCs w:val="22"/>
              </w:rPr>
            </w:pPr>
            <w:r w:rsidRPr="00B42F50">
              <w:rPr>
                <w:sz w:val="22"/>
                <w:szCs w:val="22"/>
                <w:u w:val="single"/>
              </w:rPr>
              <w:t>Kaubanduskoja seisukoht</w:t>
            </w:r>
            <w:r w:rsidRPr="00B42F50">
              <w:rPr>
                <w:sz w:val="22"/>
                <w:szCs w:val="22"/>
              </w:rPr>
              <w:t>:</w:t>
            </w:r>
          </w:p>
          <w:p w14:paraId="20067802" w14:textId="0D72CF3D" w:rsidR="00EC63B4" w:rsidRPr="00B42F50" w:rsidRDefault="0027415B" w:rsidP="00D31902">
            <w:pPr>
              <w:jc w:val="both"/>
              <w:rPr>
                <w:sz w:val="22"/>
                <w:szCs w:val="22"/>
              </w:rPr>
            </w:pPr>
            <w:r w:rsidRPr="00B42F50">
              <w:rPr>
                <w:sz w:val="22"/>
                <w:szCs w:val="22"/>
              </w:rPr>
              <w:t xml:space="preserve">Mõistame, et nõue tuleneb ELi õigusest ja on formaalselt minimaalselt üle võetud, kuid peame oluliseks juhtida tähelepanu sellele, et nõude rakendamine võib praktikas vähendada kindlustusandjate paindlikkust juhtorganite liikmete valimisel ning mõjutada negatiivselt juhtimise kvaliteeti, ilma et see looks Eesti kindlustusturu eripära arvestades proportsionaalset lisandväärtust. </w:t>
            </w:r>
          </w:p>
        </w:tc>
        <w:tc>
          <w:tcPr>
            <w:tcW w:w="1243" w:type="dxa"/>
          </w:tcPr>
          <w:p w14:paraId="690C991C" w14:textId="77777777" w:rsidR="0019638A" w:rsidRPr="00B42F50" w:rsidRDefault="006C4655" w:rsidP="00D31902">
            <w:pPr>
              <w:jc w:val="center"/>
              <w:rPr>
                <w:sz w:val="22"/>
                <w:szCs w:val="22"/>
              </w:rPr>
            </w:pPr>
            <w:r w:rsidRPr="00B42F50">
              <w:rPr>
                <w:sz w:val="22"/>
                <w:szCs w:val="22"/>
              </w:rPr>
              <w:lastRenderedPageBreak/>
              <w:t>Arvestatud</w:t>
            </w:r>
            <w:r w:rsidR="0019638A" w:rsidRPr="00B42F50">
              <w:rPr>
                <w:sz w:val="22"/>
                <w:szCs w:val="22"/>
              </w:rPr>
              <w:t>/</w:t>
            </w:r>
          </w:p>
          <w:p w14:paraId="3336A085" w14:textId="6B244233" w:rsidR="00EC63B4" w:rsidRPr="00B42F50" w:rsidRDefault="0019638A" w:rsidP="00D31902">
            <w:pPr>
              <w:jc w:val="center"/>
              <w:rPr>
                <w:sz w:val="22"/>
                <w:szCs w:val="22"/>
              </w:rPr>
            </w:pPr>
            <w:r w:rsidRPr="00B42F50">
              <w:rPr>
                <w:sz w:val="22"/>
                <w:szCs w:val="22"/>
              </w:rPr>
              <w:t>Selgitatud</w:t>
            </w:r>
          </w:p>
        </w:tc>
        <w:tc>
          <w:tcPr>
            <w:tcW w:w="3209" w:type="dxa"/>
          </w:tcPr>
          <w:p w14:paraId="032F4E97" w14:textId="38B53C64" w:rsidR="0066461D" w:rsidRPr="00B42F50" w:rsidRDefault="008D3B0A" w:rsidP="00D31902">
            <w:pPr>
              <w:jc w:val="both"/>
              <w:rPr>
                <w:sz w:val="22"/>
                <w:szCs w:val="22"/>
              </w:rPr>
            </w:pPr>
            <w:r w:rsidRPr="00B42F50">
              <w:rPr>
                <w:sz w:val="22"/>
                <w:szCs w:val="22"/>
              </w:rPr>
              <w:t>Nõustume</w:t>
            </w:r>
            <w:r w:rsidR="00B23191" w:rsidRPr="00B42F50">
              <w:rPr>
                <w:sz w:val="22"/>
                <w:szCs w:val="22"/>
              </w:rPr>
              <w:t xml:space="preserve"> Koju järeldustega ning täiendame</w:t>
            </w:r>
            <w:r w:rsidR="00A3197E" w:rsidRPr="00B42F50">
              <w:rPr>
                <w:sz w:val="22"/>
                <w:szCs w:val="22"/>
              </w:rPr>
              <w:t xml:space="preserve"> </w:t>
            </w:r>
            <w:r w:rsidR="00B23191" w:rsidRPr="00B42F50">
              <w:rPr>
                <w:sz w:val="22"/>
                <w:szCs w:val="22"/>
              </w:rPr>
              <w:t xml:space="preserve">seletuskirja </w:t>
            </w:r>
            <w:r w:rsidR="006167DE" w:rsidRPr="00B42F50">
              <w:rPr>
                <w:sz w:val="22"/>
                <w:szCs w:val="22"/>
              </w:rPr>
              <w:t>võimalike mõjude avaldumise osa</w:t>
            </w:r>
            <w:r w:rsidR="00A3197E" w:rsidRPr="00B42F50">
              <w:rPr>
                <w:sz w:val="22"/>
                <w:szCs w:val="22"/>
              </w:rPr>
              <w:t>.</w:t>
            </w:r>
          </w:p>
          <w:p w14:paraId="556EC18D" w14:textId="77777777" w:rsidR="0066461D" w:rsidRPr="00B42F50" w:rsidRDefault="0066461D" w:rsidP="00D31902">
            <w:pPr>
              <w:jc w:val="both"/>
              <w:rPr>
                <w:sz w:val="22"/>
                <w:szCs w:val="22"/>
              </w:rPr>
            </w:pPr>
          </w:p>
          <w:p w14:paraId="75740E92" w14:textId="4C064DE2" w:rsidR="00307195" w:rsidRPr="00B42F50" w:rsidRDefault="00C80FB1" w:rsidP="00D31902">
            <w:pPr>
              <w:jc w:val="both"/>
              <w:rPr>
                <w:sz w:val="22"/>
                <w:szCs w:val="22"/>
              </w:rPr>
            </w:pPr>
            <w:r w:rsidRPr="00B42F50">
              <w:rPr>
                <w:sz w:val="22"/>
                <w:szCs w:val="22"/>
              </w:rPr>
              <w:lastRenderedPageBreak/>
              <w:t>Mitmekesisuse</w:t>
            </w:r>
            <w:r w:rsidR="00E73CD7" w:rsidRPr="00B42F50">
              <w:rPr>
                <w:sz w:val="22"/>
                <w:szCs w:val="22"/>
              </w:rPr>
              <w:t xml:space="preserve"> nõuet aitab täpsustada </w:t>
            </w:r>
            <w:hyperlink r:id="rId18" w:history="1">
              <w:r w:rsidR="00E73CD7" w:rsidRPr="00B42F50">
                <w:rPr>
                  <w:rStyle w:val="Hperlink"/>
                  <w:sz w:val="22"/>
                  <w:szCs w:val="22"/>
                </w:rPr>
                <w:t>EIOPA suunis</w:t>
              </w:r>
            </w:hyperlink>
            <w:r w:rsidR="0054360B" w:rsidRPr="00B42F50">
              <w:rPr>
                <w:sz w:val="22"/>
                <w:szCs w:val="22"/>
              </w:rPr>
              <w:t xml:space="preserve">, mille kohaselt </w:t>
            </w:r>
            <w:r w:rsidRPr="00B42F50">
              <w:rPr>
                <w:sz w:val="22"/>
                <w:szCs w:val="22"/>
              </w:rPr>
              <w:t xml:space="preserve">on </w:t>
            </w:r>
            <w:r w:rsidR="0054360B" w:rsidRPr="00B42F50">
              <w:rPr>
                <w:sz w:val="22"/>
                <w:szCs w:val="22"/>
              </w:rPr>
              <w:t>mitmekesisus üks tegur, mis aitab parandada juhtorganite toimimist, ennetada nn grupimõtlemist ning soodustada sõltumatute seisukohtade ja konstruktiivse arutelu tekkimist otsustusprotsessis. Seega on mitmekesisus käsitletav juhtimise kvaliteeti toetava</w:t>
            </w:r>
            <w:r w:rsidR="00487C07" w:rsidRPr="00B42F50">
              <w:rPr>
                <w:sz w:val="22"/>
                <w:szCs w:val="22"/>
              </w:rPr>
              <w:t xml:space="preserve"> </w:t>
            </w:r>
            <w:r w:rsidR="0054360B" w:rsidRPr="00B42F50">
              <w:rPr>
                <w:sz w:val="22"/>
                <w:szCs w:val="22"/>
              </w:rPr>
              <w:t>tegurina.</w:t>
            </w:r>
            <w:r w:rsidR="00EC5F06" w:rsidRPr="00B42F50">
              <w:rPr>
                <w:sz w:val="22"/>
                <w:szCs w:val="22"/>
              </w:rPr>
              <w:t xml:space="preserve"> </w:t>
            </w:r>
            <w:r w:rsidR="0054360B" w:rsidRPr="00B42F50">
              <w:rPr>
                <w:sz w:val="22"/>
                <w:szCs w:val="22"/>
              </w:rPr>
              <w:t xml:space="preserve">Lisaks </w:t>
            </w:r>
            <w:r w:rsidR="00EC5F06" w:rsidRPr="00B42F50">
              <w:rPr>
                <w:sz w:val="22"/>
                <w:szCs w:val="22"/>
              </w:rPr>
              <w:t>kohaldub</w:t>
            </w:r>
            <w:r w:rsidR="0054360B" w:rsidRPr="00B42F50">
              <w:rPr>
                <w:sz w:val="22"/>
                <w:szCs w:val="22"/>
              </w:rPr>
              <w:t xml:space="preserve"> proportsionaalsuse põhimõtet, mille kohaselt tuleb mitmekesisuse poliitika ja selle rakendamine kohandada vastavalt kindlustusandja tegevuse iseloomule, ulatusele ja keerukusele. </w:t>
            </w:r>
          </w:p>
          <w:p w14:paraId="7C82F881" w14:textId="77777777" w:rsidR="00307195" w:rsidRPr="00B42F50" w:rsidRDefault="00307195" w:rsidP="00D31902">
            <w:pPr>
              <w:jc w:val="both"/>
              <w:rPr>
                <w:sz w:val="22"/>
                <w:szCs w:val="22"/>
              </w:rPr>
            </w:pPr>
          </w:p>
          <w:p w14:paraId="51B8E635" w14:textId="005FF692" w:rsidR="00EC63B4" w:rsidRPr="00B42F50" w:rsidRDefault="0054360B" w:rsidP="00D31902">
            <w:pPr>
              <w:jc w:val="both"/>
              <w:rPr>
                <w:sz w:val="22"/>
                <w:szCs w:val="22"/>
              </w:rPr>
            </w:pPr>
            <w:r w:rsidRPr="00B42F50">
              <w:rPr>
                <w:sz w:val="22"/>
                <w:szCs w:val="22"/>
              </w:rPr>
              <w:t>Nõuded ei eelda kindlustusandjatelt jäika ega mehaanilist lähenemist juhtorganite koosseisu kujundamisel, vaid jätavad piisava paindlikkuse sobivate kandidaatide valikuks, arvestades samal ajal kindlustusandja konkreetset profiili ja Eesti kindlustusturu eripära.</w:t>
            </w:r>
          </w:p>
        </w:tc>
      </w:tr>
      <w:tr w:rsidR="00D67C81" w:rsidRPr="00B42F50" w14:paraId="3D24D614" w14:textId="77777777" w:rsidTr="00EE4822">
        <w:tc>
          <w:tcPr>
            <w:tcW w:w="708" w:type="dxa"/>
          </w:tcPr>
          <w:p w14:paraId="3240B170" w14:textId="406E036F" w:rsidR="00EC63B4" w:rsidRDefault="00790926" w:rsidP="00D31902">
            <w:pPr>
              <w:jc w:val="both"/>
              <w:rPr>
                <w:b/>
                <w:sz w:val="22"/>
                <w:szCs w:val="22"/>
              </w:rPr>
            </w:pPr>
            <w:r>
              <w:rPr>
                <w:b/>
                <w:sz w:val="22"/>
                <w:szCs w:val="22"/>
              </w:rPr>
              <w:lastRenderedPageBreak/>
              <w:t>4</w:t>
            </w:r>
            <w:r w:rsidR="00663B88">
              <w:rPr>
                <w:b/>
                <w:sz w:val="22"/>
                <w:szCs w:val="22"/>
              </w:rPr>
              <w:t>8.</w:t>
            </w:r>
          </w:p>
          <w:p w14:paraId="6CE334F3" w14:textId="4D3DA65C" w:rsidR="00663B88" w:rsidRPr="00B42F50" w:rsidRDefault="00663B88" w:rsidP="00D31902">
            <w:pPr>
              <w:jc w:val="both"/>
              <w:rPr>
                <w:b/>
                <w:sz w:val="22"/>
                <w:szCs w:val="22"/>
              </w:rPr>
            </w:pPr>
            <w:r>
              <w:rPr>
                <w:b/>
                <w:sz w:val="22"/>
                <w:szCs w:val="22"/>
              </w:rPr>
              <w:t>KODA</w:t>
            </w:r>
          </w:p>
        </w:tc>
        <w:tc>
          <w:tcPr>
            <w:tcW w:w="5501" w:type="dxa"/>
          </w:tcPr>
          <w:p w14:paraId="453E3259" w14:textId="39AEBC9F" w:rsidR="00596B72" w:rsidRDefault="00596B72" w:rsidP="00D31902">
            <w:pPr>
              <w:jc w:val="both"/>
              <w:rPr>
                <w:sz w:val="22"/>
                <w:szCs w:val="22"/>
              </w:rPr>
            </w:pPr>
            <w:r w:rsidRPr="00070736">
              <w:rPr>
                <w:sz w:val="22"/>
                <w:szCs w:val="22"/>
              </w:rPr>
              <w:t>5. Solventsuse ja finantsseisundi bilansi auditeerimise kohustus</w:t>
            </w:r>
          </w:p>
          <w:p w14:paraId="21BD47D5" w14:textId="77777777" w:rsidR="00070736" w:rsidRPr="00070736" w:rsidRDefault="00070736" w:rsidP="00D31902">
            <w:pPr>
              <w:jc w:val="both"/>
              <w:rPr>
                <w:sz w:val="22"/>
                <w:szCs w:val="22"/>
              </w:rPr>
            </w:pPr>
          </w:p>
          <w:p w14:paraId="7E1E6927" w14:textId="77777777" w:rsidR="00596B72" w:rsidRPr="00B42F50" w:rsidRDefault="00596B72" w:rsidP="00D31902">
            <w:pPr>
              <w:jc w:val="both"/>
              <w:rPr>
                <w:sz w:val="22"/>
                <w:szCs w:val="22"/>
              </w:rPr>
            </w:pPr>
            <w:r w:rsidRPr="00B42F50">
              <w:rPr>
                <w:sz w:val="22"/>
                <w:szCs w:val="22"/>
              </w:rPr>
              <w:t>Eelnõu § 89 punkti 127 (KindlTS § 129) kohaselt nähakse kindlustusandjatele ette kohustus auditeerida solventsuse ja finantsseisundi aruande (SFCR) bilanss. Auditeerimiskohustus kohaldub kindlustusandjatele, erandina on sellest vabastatud väikesed ja mittekeerukad kindlustusandjad.</w:t>
            </w:r>
          </w:p>
          <w:p w14:paraId="6FB501CA" w14:textId="77777777" w:rsidR="00596B72" w:rsidRPr="00B42F50" w:rsidRDefault="00596B72" w:rsidP="00D31902">
            <w:pPr>
              <w:jc w:val="both"/>
              <w:rPr>
                <w:sz w:val="22"/>
                <w:szCs w:val="22"/>
              </w:rPr>
            </w:pPr>
            <w:r w:rsidRPr="00B42F50">
              <w:rPr>
                <w:sz w:val="22"/>
                <w:szCs w:val="22"/>
              </w:rPr>
              <w:t xml:space="preserve">Leiame, et SFCR bilansi auditeerimise kohustus tähendab kindlustusandjatele täiendavat auditi töövõttu ning toob kaasa märkimisväärse haldus- ning rahalise koormuse, mille lisandväärtus ei ole Eesti kindlustusturu kontekstis piisavalt veenvalt põhjendatud. Kuigi seletuskirjas (lk 234) on märgitud, et auditeerimise mõju avaldub kord aastas ning auditeeritud teavet saavad sidusrühmad kasutada pidevalt, on küsitav, millist sisuliselt uut väärtust SFCR bilansi auditeerimine loob võrreldes juba kehtivate auditi- ja järelevalvemehhanismidega. Kindlustusandjate majandusaasta aruannete bilansid on juba kehtiva õiguse kohaselt auditeeritud ning Finantsinspektsioon teostab pidevat järelevalvet kindlustusandjate finantsseisundi üle. Sellest tulenevalt võib SFCR bilansi täiendav auditeerimine kujutada endast osaliselt olemasolevate kontrollimehhanismide dubleerimist ning suurendada </w:t>
            </w:r>
            <w:r w:rsidRPr="00B42F50">
              <w:rPr>
                <w:sz w:val="22"/>
                <w:szCs w:val="22"/>
              </w:rPr>
              <w:lastRenderedPageBreak/>
              <w:t>kindlustusandjate kulusid ja vähendada paindlikkust nende tegevuses, eelkõige nende kindlustusandjate puhul, kes ei kvalifitseeru väikesteks ja mittekeerukateks.</w:t>
            </w:r>
          </w:p>
          <w:p w14:paraId="065B35CB" w14:textId="77777777" w:rsidR="003F03FF" w:rsidRPr="00B42F50" w:rsidRDefault="003F03FF" w:rsidP="00D31902">
            <w:pPr>
              <w:jc w:val="both"/>
              <w:rPr>
                <w:sz w:val="22"/>
                <w:szCs w:val="22"/>
              </w:rPr>
            </w:pPr>
          </w:p>
          <w:p w14:paraId="0E128FB5" w14:textId="77777777" w:rsidR="00596B72" w:rsidRPr="00B42F50" w:rsidRDefault="00596B72" w:rsidP="00D31902">
            <w:pPr>
              <w:jc w:val="both"/>
              <w:rPr>
                <w:sz w:val="22"/>
                <w:szCs w:val="22"/>
              </w:rPr>
            </w:pPr>
            <w:r w:rsidRPr="00B42F50">
              <w:rPr>
                <w:sz w:val="22"/>
                <w:szCs w:val="22"/>
                <w:u w:val="single"/>
              </w:rPr>
              <w:t>Kaubanduskoja seisukoht</w:t>
            </w:r>
            <w:r w:rsidRPr="00B42F50">
              <w:rPr>
                <w:sz w:val="22"/>
                <w:szCs w:val="22"/>
              </w:rPr>
              <w:t xml:space="preserve">: </w:t>
            </w:r>
          </w:p>
          <w:p w14:paraId="637348A2" w14:textId="18F66A1A" w:rsidR="00EC63B4" w:rsidRPr="00B42F50" w:rsidRDefault="00596B72" w:rsidP="00D31902">
            <w:pPr>
              <w:jc w:val="both"/>
              <w:rPr>
                <w:sz w:val="22"/>
                <w:szCs w:val="22"/>
              </w:rPr>
            </w:pPr>
            <w:r w:rsidRPr="00B42F50">
              <w:rPr>
                <w:sz w:val="22"/>
                <w:szCs w:val="22"/>
              </w:rPr>
              <w:t>Mõistame, et ka see nõue tuleneb ELi õigusest, täpsemalt Solventsus II direktiivist, ning tuleb seetõttu riigisisesesse õigusesse üle võtta. Samas on meie hinnangul tegemist ebaproportsionaalse meetmega. Tuleb arvestada asjaoluga, et see kehtib suurtele ja keerukatele kindlustusandjatele, kellele on juba hetkel kehtiva õiguse alusel kehtestatud ja tulevikus kõnealuse eelnõu alusel plaan määrata ulatuslik hulk muid regulatiivseid, aruandlus- ja järelevalvenõudeid.</w:t>
            </w:r>
          </w:p>
        </w:tc>
        <w:tc>
          <w:tcPr>
            <w:tcW w:w="1243" w:type="dxa"/>
          </w:tcPr>
          <w:p w14:paraId="58B66084" w14:textId="7DEE4703" w:rsidR="00EC63B4" w:rsidRPr="00B42F50" w:rsidRDefault="002D6142" w:rsidP="00D31902">
            <w:pPr>
              <w:jc w:val="both"/>
              <w:rPr>
                <w:sz w:val="22"/>
                <w:szCs w:val="22"/>
              </w:rPr>
            </w:pPr>
            <w:r w:rsidRPr="00B42F50">
              <w:rPr>
                <w:sz w:val="22"/>
                <w:szCs w:val="22"/>
              </w:rPr>
              <w:lastRenderedPageBreak/>
              <w:t>Selgitatud</w:t>
            </w:r>
          </w:p>
        </w:tc>
        <w:tc>
          <w:tcPr>
            <w:tcW w:w="3209" w:type="dxa"/>
          </w:tcPr>
          <w:p w14:paraId="156826C4" w14:textId="02F9D46F" w:rsidR="00EC63B4" w:rsidRPr="00B42F50" w:rsidRDefault="00B71821" w:rsidP="00D31902">
            <w:pPr>
              <w:jc w:val="both"/>
              <w:rPr>
                <w:sz w:val="22"/>
                <w:szCs w:val="22"/>
              </w:rPr>
            </w:pPr>
            <w:r w:rsidRPr="00B42F50">
              <w:rPr>
                <w:sz w:val="22"/>
                <w:szCs w:val="22"/>
              </w:rPr>
              <w:t xml:space="preserve">Tõepoolest, </w:t>
            </w:r>
            <w:r w:rsidR="00CC7342" w:rsidRPr="00B42F50">
              <w:rPr>
                <w:sz w:val="22"/>
                <w:szCs w:val="22"/>
              </w:rPr>
              <w:t>tegemist on direktiivist tuleneva nõudega</w:t>
            </w:r>
            <w:r w:rsidR="00D3753D" w:rsidRPr="00B42F50">
              <w:rPr>
                <w:sz w:val="22"/>
                <w:szCs w:val="22"/>
              </w:rPr>
              <w:t xml:space="preserve">, sealjuures </w:t>
            </w:r>
            <w:r w:rsidR="00A3776D" w:rsidRPr="00B42F50">
              <w:rPr>
                <w:sz w:val="22"/>
                <w:szCs w:val="22"/>
              </w:rPr>
              <w:t>näeb direktiiv liikmesriikidele ette võimaluse laiendada auditeeritava teabe ulatust ja</w:t>
            </w:r>
            <w:r w:rsidR="00A952EE" w:rsidRPr="00B42F50">
              <w:rPr>
                <w:sz w:val="22"/>
                <w:szCs w:val="22"/>
              </w:rPr>
              <w:t>/või</w:t>
            </w:r>
            <w:r w:rsidR="00A3776D" w:rsidRPr="00B42F50">
              <w:rPr>
                <w:sz w:val="22"/>
                <w:szCs w:val="22"/>
              </w:rPr>
              <w:t xml:space="preserve"> </w:t>
            </w:r>
            <w:r w:rsidR="00A952EE" w:rsidRPr="00B42F50">
              <w:rPr>
                <w:sz w:val="22"/>
                <w:szCs w:val="22"/>
              </w:rPr>
              <w:t xml:space="preserve">kohaldada auditeerimist mh väikestele ja mittekeerukatele kindlustusandjatele. Eesti </w:t>
            </w:r>
            <w:r w:rsidR="005C384C" w:rsidRPr="00B42F50">
              <w:rPr>
                <w:sz w:val="22"/>
                <w:szCs w:val="22"/>
              </w:rPr>
              <w:t>neid</w:t>
            </w:r>
            <w:r w:rsidR="00A952EE" w:rsidRPr="00B42F50">
              <w:rPr>
                <w:sz w:val="22"/>
                <w:szCs w:val="22"/>
              </w:rPr>
              <w:t xml:space="preserve"> valiku</w:t>
            </w:r>
            <w:r w:rsidR="003D5FEA" w:rsidRPr="00B42F50">
              <w:rPr>
                <w:sz w:val="22"/>
                <w:szCs w:val="22"/>
              </w:rPr>
              <w:t>võimalusi</w:t>
            </w:r>
            <w:r w:rsidR="00A952EE" w:rsidRPr="00B42F50">
              <w:rPr>
                <w:sz w:val="22"/>
                <w:szCs w:val="22"/>
              </w:rPr>
              <w:t xml:space="preserve"> ei </w:t>
            </w:r>
            <w:r w:rsidR="005C384C" w:rsidRPr="00B42F50">
              <w:rPr>
                <w:sz w:val="22"/>
                <w:szCs w:val="22"/>
              </w:rPr>
              <w:t xml:space="preserve">ole </w:t>
            </w:r>
            <w:r w:rsidR="00A952EE" w:rsidRPr="00B42F50">
              <w:rPr>
                <w:sz w:val="22"/>
                <w:szCs w:val="22"/>
              </w:rPr>
              <w:t>kasutanud</w:t>
            </w:r>
            <w:r w:rsidR="00BB3D0C" w:rsidRPr="00B42F50">
              <w:rPr>
                <w:sz w:val="22"/>
                <w:szCs w:val="22"/>
              </w:rPr>
              <w:t xml:space="preserve"> mh märkuses esitatud põhjustel.</w:t>
            </w:r>
          </w:p>
          <w:p w14:paraId="67A196D8" w14:textId="7BA09261" w:rsidR="004E001B" w:rsidRPr="00B42F50" w:rsidRDefault="004E001B" w:rsidP="00D31902">
            <w:pPr>
              <w:jc w:val="both"/>
              <w:rPr>
                <w:sz w:val="22"/>
                <w:szCs w:val="22"/>
              </w:rPr>
            </w:pPr>
          </w:p>
        </w:tc>
      </w:tr>
    </w:tbl>
    <w:p w14:paraId="78902F93" w14:textId="77777777" w:rsidR="00C6527F" w:rsidRPr="00B42F50" w:rsidRDefault="00C6527F" w:rsidP="00FC2C73">
      <w:pPr>
        <w:rPr>
          <w:sz w:val="22"/>
          <w:szCs w:val="22"/>
        </w:rPr>
      </w:pPr>
    </w:p>
    <w:sectPr w:rsidR="00C6527F" w:rsidRPr="00B42F50">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ABE4" w14:textId="77777777" w:rsidR="009F6E16" w:rsidRDefault="009F6E16" w:rsidP="00CD5971">
      <w:r>
        <w:separator/>
      </w:r>
    </w:p>
  </w:endnote>
  <w:endnote w:type="continuationSeparator" w:id="0">
    <w:p w14:paraId="0A1D9BDD" w14:textId="77777777" w:rsidR="009F6E16" w:rsidRDefault="009F6E16" w:rsidP="00CD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657361"/>
      <w:docPartObj>
        <w:docPartGallery w:val="Page Numbers (Bottom of Page)"/>
        <w:docPartUnique/>
      </w:docPartObj>
    </w:sdtPr>
    <w:sdtEndPr/>
    <w:sdtContent>
      <w:p w14:paraId="52B3FEEB" w14:textId="66DB8A21" w:rsidR="00CD5971" w:rsidRDefault="00CD5971">
        <w:pPr>
          <w:pStyle w:val="Jalus"/>
          <w:jc w:val="center"/>
        </w:pPr>
        <w:r>
          <w:fldChar w:fldCharType="begin"/>
        </w:r>
        <w:r>
          <w:instrText>PAGE   \* MERGEFORMAT</w:instrText>
        </w:r>
        <w:r>
          <w:fldChar w:fldCharType="separate"/>
        </w:r>
        <w:r>
          <w:t>2</w:t>
        </w:r>
        <w:r>
          <w:fldChar w:fldCharType="end"/>
        </w:r>
      </w:p>
    </w:sdtContent>
  </w:sdt>
  <w:p w14:paraId="09D8FCF3" w14:textId="77777777" w:rsidR="00CD5971" w:rsidRDefault="00CD59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B013" w14:textId="77777777" w:rsidR="009F6E16" w:rsidRDefault="009F6E16" w:rsidP="00CD5971">
      <w:r>
        <w:separator/>
      </w:r>
    </w:p>
  </w:footnote>
  <w:footnote w:type="continuationSeparator" w:id="0">
    <w:p w14:paraId="518A41AA" w14:textId="77777777" w:rsidR="009F6E16" w:rsidRDefault="009F6E16" w:rsidP="00CD5971">
      <w:r>
        <w:continuationSeparator/>
      </w:r>
    </w:p>
  </w:footnote>
  <w:footnote w:id="1">
    <w:p w14:paraId="37C64027" w14:textId="11D3185B" w:rsidR="00B753E7" w:rsidRPr="00B753E7" w:rsidRDefault="00B753E7" w:rsidP="00B753E7">
      <w:pPr>
        <w:pStyle w:val="Allmrkusetekst"/>
        <w:jc w:val="both"/>
        <w:rPr>
          <w:rFonts w:ascii="Times New Roman" w:hAnsi="Times New Roman" w:cs="Times New Roman"/>
        </w:rPr>
      </w:pPr>
      <w:r w:rsidRPr="00B753E7">
        <w:rPr>
          <w:rStyle w:val="Allmrkuseviide"/>
          <w:rFonts w:ascii="Times New Roman" w:hAnsi="Times New Roman" w:cs="Times New Roman"/>
        </w:rPr>
        <w:footnoteRef/>
      </w:r>
      <w:r>
        <w:rPr>
          <w:rFonts w:ascii="Times New Roman" w:hAnsi="Times New Roman" w:cs="Times New Roman"/>
        </w:rPr>
        <w:t xml:space="preserve"> Eelnõude infosüsteem.</w:t>
      </w:r>
      <w:r w:rsidRPr="00B753E7">
        <w:rPr>
          <w:rFonts w:ascii="Times New Roman" w:hAnsi="Times New Roman" w:cs="Times New Roman"/>
        </w:rPr>
        <w:t xml:space="preserve"> Kindlustustegevuse seaduse muutmise seadus</w:t>
      </w:r>
      <w:r>
        <w:rPr>
          <w:rFonts w:ascii="Times New Roman" w:hAnsi="Times New Roman" w:cs="Times New Roman"/>
        </w:rPr>
        <w:t xml:space="preserve">: </w:t>
      </w:r>
      <w:r w:rsidRPr="00B753E7">
        <w:rPr>
          <w:rFonts w:ascii="Times New Roman" w:hAnsi="Times New Roman" w:cs="Times New Roman"/>
        </w:rPr>
        <w:t>https://eelnoud.valitsus.ee/main/mount/docList/dc65fa70-c965-4328-bad3-13a0153a384d</w:t>
      </w:r>
    </w:p>
    <w:p w14:paraId="38AE38DF" w14:textId="4B97EC63" w:rsidR="00B753E7" w:rsidRPr="00B753E7" w:rsidRDefault="00B753E7" w:rsidP="00B753E7">
      <w:pPr>
        <w:pStyle w:val="Allmrkusetekst"/>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22915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7F7F4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4AE48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51876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719C3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7CD6AD"/>
    <w:multiLevelType w:val="hybridMultilevel"/>
    <w:tmpl w:val="330A6DDA"/>
    <w:lvl w:ilvl="0" w:tplc="DD0469D6">
      <w:start w:val="1"/>
      <w:numFmt w:val="decimal"/>
      <w:lvlText w:val="%1."/>
      <w:lvlJc w:val="left"/>
      <w:rPr>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A86998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A730CA"/>
    <w:multiLevelType w:val="hybridMultilevel"/>
    <w:tmpl w:val="00B80798"/>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8" w15:restartNumberingAfterBreak="0">
    <w:nsid w:val="1CD849CA"/>
    <w:multiLevelType w:val="multilevel"/>
    <w:tmpl w:val="0AD4DB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961BE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105F30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1F61336"/>
    <w:multiLevelType w:val="multilevel"/>
    <w:tmpl w:val="8578EA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07816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649748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4627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7283687">
    <w:abstractNumId w:val="5"/>
  </w:num>
  <w:num w:numId="5" w16cid:durableId="556747449">
    <w:abstractNumId w:val="1"/>
  </w:num>
  <w:num w:numId="6" w16cid:durableId="1454250264">
    <w:abstractNumId w:val="9"/>
  </w:num>
  <w:num w:numId="7" w16cid:durableId="1179585250">
    <w:abstractNumId w:val="4"/>
  </w:num>
  <w:num w:numId="8" w16cid:durableId="1478454517">
    <w:abstractNumId w:val="0"/>
  </w:num>
  <w:num w:numId="9" w16cid:durableId="1171410418">
    <w:abstractNumId w:val="2"/>
  </w:num>
  <w:num w:numId="10" w16cid:durableId="1967811116">
    <w:abstractNumId w:val="6"/>
  </w:num>
  <w:num w:numId="11" w16cid:durableId="2097969863">
    <w:abstractNumId w:val="10"/>
  </w:num>
  <w:num w:numId="12" w16cid:durableId="41867148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7F"/>
    <w:rsid w:val="00001A9D"/>
    <w:rsid w:val="00001B95"/>
    <w:rsid w:val="0000205B"/>
    <w:rsid w:val="00003B1A"/>
    <w:rsid w:val="0000581D"/>
    <w:rsid w:val="000074E6"/>
    <w:rsid w:val="0000781B"/>
    <w:rsid w:val="00010F72"/>
    <w:rsid w:val="000127D8"/>
    <w:rsid w:val="00016D5B"/>
    <w:rsid w:val="000179B8"/>
    <w:rsid w:val="000211E6"/>
    <w:rsid w:val="00023DFA"/>
    <w:rsid w:val="000255D8"/>
    <w:rsid w:val="000267AD"/>
    <w:rsid w:val="00030BE0"/>
    <w:rsid w:val="000311E1"/>
    <w:rsid w:val="00031326"/>
    <w:rsid w:val="00032EBA"/>
    <w:rsid w:val="000348D9"/>
    <w:rsid w:val="00034DE3"/>
    <w:rsid w:val="00035C93"/>
    <w:rsid w:val="00040FCB"/>
    <w:rsid w:val="000419E4"/>
    <w:rsid w:val="0004354E"/>
    <w:rsid w:val="00044CFC"/>
    <w:rsid w:val="00045A40"/>
    <w:rsid w:val="00045A70"/>
    <w:rsid w:val="00046175"/>
    <w:rsid w:val="000462A4"/>
    <w:rsid w:val="0004661A"/>
    <w:rsid w:val="000473CE"/>
    <w:rsid w:val="00050489"/>
    <w:rsid w:val="00052D02"/>
    <w:rsid w:val="000546E0"/>
    <w:rsid w:val="000552E0"/>
    <w:rsid w:val="00055C14"/>
    <w:rsid w:val="00062E3E"/>
    <w:rsid w:val="0006433C"/>
    <w:rsid w:val="0006478F"/>
    <w:rsid w:val="00070736"/>
    <w:rsid w:val="00073E55"/>
    <w:rsid w:val="000745A9"/>
    <w:rsid w:val="0007492F"/>
    <w:rsid w:val="0007625A"/>
    <w:rsid w:val="0007649B"/>
    <w:rsid w:val="000778E4"/>
    <w:rsid w:val="00080222"/>
    <w:rsid w:val="0008256C"/>
    <w:rsid w:val="0008297B"/>
    <w:rsid w:val="00082C53"/>
    <w:rsid w:val="00083A74"/>
    <w:rsid w:val="00086640"/>
    <w:rsid w:val="00087CC1"/>
    <w:rsid w:val="00090128"/>
    <w:rsid w:val="00090ADB"/>
    <w:rsid w:val="00092098"/>
    <w:rsid w:val="00092BB3"/>
    <w:rsid w:val="00093C9E"/>
    <w:rsid w:val="00093D90"/>
    <w:rsid w:val="00093E95"/>
    <w:rsid w:val="00095207"/>
    <w:rsid w:val="000A01B5"/>
    <w:rsid w:val="000A176A"/>
    <w:rsid w:val="000A45D8"/>
    <w:rsid w:val="000A5750"/>
    <w:rsid w:val="000A7DC3"/>
    <w:rsid w:val="000B159E"/>
    <w:rsid w:val="000B1B32"/>
    <w:rsid w:val="000B487E"/>
    <w:rsid w:val="000B7314"/>
    <w:rsid w:val="000C12AB"/>
    <w:rsid w:val="000C3255"/>
    <w:rsid w:val="000C39DA"/>
    <w:rsid w:val="000C5883"/>
    <w:rsid w:val="000C77F8"/>
    <w:rsid w:val="000D044B"/>
    <w:rsid w:val="000D0CE7"/>
    <w:rsid w:val="000D5902"/>
    <w:rsid w:val="000D6959"/>
    <w:rsid w:val="000D6E24"/>
    <w:rsid w:val="000D768A"/>
    <w:rsid w:val="000E215A"/>
    <w:rsid w:val="000E5F9A"/>
    <w:rsid w:val="000E676B"/>
    <w:rsid w:val="000E6A78"/>
    <w:rsid w:val="000E70C0"/>
    <w:rsid w:val="000F4427"/>
    <w:rsid w:val="000F47DB"/>
    <w:rsid w:val="000F6AAB"/>
    <w:rsid w:val="00101159"/>
    <w:rsid w:val="00103B67"/>
    <w:rsid w:val="00104214"/>
    <w:rsid w:val="00105B00"/>
    <w:rsid w:val="00106709"/>
    <w:rsid w:val="00111E47"/>
    <w:rsid w:val="00112056"/>
    <w:rsid w:val="001129A5"/>
    <w:rsid w:val="00120D6E"/>
    <w:rsid w:val="00121B1B"/>
    <w:rsid w:val="00122702"/>
    <w:rsid w:val="001227D9"/>
    <w:rsid w:val="00122835"/>
    <w:rsid w:val="0012354F"/>
    <w:rsid w:val="00123EC6"/>
    <w:rsid w:val="00125BBC"/>
    <w:rsid w:val="0012607F"/>
    <w:rsid w:val="00131848"/>
    <w:rsid w:val="001324F0"/>
    <w:rsid w:val="00132515"/>
    <w:rsid w:val="00133B2F"/>
    <w:rsid w:val="00141349"/>
    <w:rsid w:val="00141D8E"/>
    <w:rsid w:val="0014387D"/>
    <w:rsid w:val="00143FDF"/>
    <w:rsid w:val="00144A9D"/>
    <w:rsid w:val="00145559"/>
    <w:rsid w:val="00147D9A"/>
    <w:rsid w:val="0015115F"/>
    <w:rsid w:val="00151263"/>
    <w:rsid w:val="00156954"/>
    <w:rsid w:val="00157B20"/>
    <w:rsid w:val="001627FB"/>
    <w:rsid w:val="00163463"/>
    <w:rsid w:val="001634A5"/>
    <w:rsid w:val="001650E1"/>
    <w:rsid w:val="00165144"/>
    <w:rsid w:val="0016652C"/>
    <w:rsid w:val="00166FE5"/>
    <w:rsid w:val="00172052"/>
    <w:rsid w:val="00175C9C"/>
    <w:rsid w:val="0017705D"/>
    <w:rsid w:val="00177707"/>
    <w:rsid w:val="00177B92"/>
    <w:rsid w:val="001827CB"/>
    <w:rsid w:val="001837BC"/>
    <w:rsid w:val="00183B3D"/>
    <w:rsid w:val="001847BD"/>
    <w:rsid w:val="001874CD"/>
    <w:rsid w:val="00187EC4"/>
    <w:rsid w:val="001908FF"/>
    <w:rsid w:val="00194D8C"/>
    <w:rsid w:val="0019638A"/>
    <w:rsid w:val="001968F0"/>
    <w:rsid w:val="001A002D"/>
    <w:rsid w:val="001A19D6"/>
    <w:rsid w:val="001A2843"/>
    <w:rsid w:val="001A6936"/>
    <w:rsid w:val="001A7ECB"/>
    <w:rsid w:val="001B02A0"/>
    <w:rsid w:val="001B09DA"/>
    <w:rsid w:val="001B15B0"/>
    <w:rsid w:val="001B2481"/>
    <w:rsid w:val="001B2B06"/>
    <w:rsid w:val="001B4846"/>
    <w:rsid w:val="001B637A"/>
    <w:rsid w:val="001B685E"/>
    <w:rsid w:val="001B6D53"/>
    <w:rsid w:val="001C6243"/>
    <w:rsid w:val="001C70A5"/>
    <w:rsid w:val="001D0BB8"/>
    <w:rsid w:val="001D3CB8"/>
    <w:rsid w:val="001D4174"/>
    <w:rsid w:val="001D4394"/>
    <w:rsid w:val="001E1D65"/>
    <w:rsid w:val="001E3C2E"/>
    <w:rsid w:val="001E512B"/>
    <w:rsid w:val="001E5948"/>
    <w:rsid w:val="001F1568"/>
    <w:rsid w:val="00200AE3"/>
    <w:rsid w:val="002010B9"/>
    <w:rsid w:val="00201141"/>
    <w:rsid w:val="002041FA"/>
    <w:rsid w:val="0020487B"/>
    <w:rsid w:val="00207673"/>
    <w:rsid w:val="00207720"/>
    <w:rsid w:val="0021443B"/>
    <w:rsid w:val="002146BB"/>
    <w:rsid w:val="002200E9"/>
    <w:rsid w:val="0022176A"/>
    <w:rsid w:val="00221A08"/>
    <w:rsid w:val="00225510"/>
    <w:rsid w:val="00225C03"/>
    <w:rsid w:val="00227B6A"/>
    <w:rsid w:val="002362E5"/>
    <w:rsid w:val="002372CC"/>
    <w:rsid w:val="00240B14"/>
    <w:rsid w:val="00245D69"/>
    <w:rsid w:val="002534EF"/>
    <w:rsid w:val="00256655"/>
    <w:rsid w:val="00256F4E"/>
    <w:rsid w:val="00257CB8"/>
    <w:rsid w:val="0026060A"/>
    <w:rsid w:val="00264A83"/>
    <w:rsid w:val="00264D3B"/>
    <w:rsid w:val="00265087"/>
    <w:rsid w:val="002712D6"/>
    <w:rsid w:val="00271922"/>
    <w:rsid w:val="00271FF0"/>
    <w:rsid w:val="00273666"/>
    <w:rsid w:val="0027415B"/>
    <w:rsid w:val="002743BF"/>
    <w:rsid w:val="00281894"/>
    <w:rsid w:val="0028208B"/>
    <w:rsid w:val="00282FBA"/>
    <w:rsid w:val="002876D6"/>
    <w:rsid w:val="00287C95"/>
    <w:rsid w:val="002944EC"/>
    <w:rsid w:val="002954E9"/>
    <w:rsid w:val="0029642D"/>
    <w:rsid w:val="00296532"/>
    <w:rsid w:val="002A0D90"/>
    <w:rsid w:val="002A0DE2"/>
    <w:rsid w:val="002A5434"/>
    <w:rsid w:val="002A6A84"/>
    <w:rsid w:val="002B1186"/>
    <w:rsid w:val="002B3920"/>
    <w:rsid w:val="002B48DF"/>
    <w:rsid w:val="002B6FD3"/>
    <w:rsid w:val="002B7843"/>
    <w:rsid w:val="002C4507"/>
    <w:rsid w:val="002D0745"/>
    <w:rsid w:val="002D2152"/>
    <w:rsid w:val="002D2BE0"/>
    <w:rsid w:val="002D478E"/>
    <w:rsid w:val="002D5B20"/>
    <w:rsid w:val="002D6142"/>
    <w:rsid w:val="002D6B0B"/>
    <w:rsid w:val="002D71F2"/>
    <w:rsid w:val="002E20E1"/>
    <w:rsid w:val="002E601B"/>
    <w:rsid w:val="002F1CCE"/>
    <w:rsid w:val="002F2233"/>
    <w:rsid w:val="00300191"/>
    <w:rsid w:val="00303C90"/>
    <w:rsid w:val="00305055"/>
    <w:rsid w:val="00307195"/>
    <w:rsid w:val="00307E44"/>
    <w:rsid w:val="00310334"/>
    <w:rsid w:val="00310923"/>
    <w:rsid w:val="003119BD"/>
    <w:rsid w:val="00311D14"/>
    <w:rsid w:val="00311EB8"/>
    <w:rsid w:val="00314C71"/>
    <w:rsid w:val="00315872"/>
    <w:rsid w:val="00315BFC"/>
    <w:rsid w:val="003172EC"/>
    <w:rsid w:val="00320CB1"/>
    <w:rsid w:val="003227DE"/>
    <w:rsid w:val="00322829"/>
    <w:rsid w:val="00323BFE"/>
    <w:rsid w:val="0033087B"/>
    <w:rsid w:val="00333293"/>
    <w:rsid w:val="00334871"/>
    <w:rsid w:val="00335D59"/>
    <w:rsid w:val="003373A9"/>
    <w:rsid w:val="0033787B"/>
    <w:rsid w:val="00337C69"/>
    <w:rsid w:val="00340D76"/>
    <w:rsid w:val="00341689"/>
    <w:rsid w:val="00343974"/>
    <w:rsid w:val="00343AFB"/>
    <w:rsid w:val="00343D53"/>
    <w:rsid w:val="00343E91"/>
    <w:rsid w:val="0034531C"/>
    <w:rsid w:val="00345522"/>
    <w:rsid w:val="003461D7"/>
    <w:rsid w:val="00346E95"/>
    <w:rsid w:val="0034792B"/>
    <w:rsid w:val="003479AB"/>
    <w:rsid w:val="00351801"/>
    <w:rsid w:val="00355B55"/>
    <w:rsid w:val="003568B9"/>
    <w:rsid w:val="0035752A"/>
    <w:rsid w:val="00357771"/>
    <w:rsid w:val="0036020E"/>
    <w:rsid w:val="003602CC"/>
    <w:rsid w:val="00362030"/>
    <w:rsid w:val="00362520"/>
    <w:rsid w:val="0036360C"/>
    <w:rsid w:val="00363EA8"/>
    <w:rsid w:val="00365647"/>
    <w:rsid w:val="0036685C"/>
    <w:rsid w:val="00367C70"/>
    <w:rsid w:val="00374F6A"/>
    <w:rsid w:val="003770DC"/>
    <w:rsid w:val="0037B718"/>
    <w:rsid w:val="003816C7"/>
    <w:rsid w:val="00383BB4"/>
    <w:rsid w:val="00384199"/>
    <w:rsid w:val="00384E6B"/>
    <w:rsid w:val="00384FBB"/>
    <w:rsid w:val="00385376"/>
    <w:rsid w:val="00385B2C"/>
    <w:rsid w:val="00387381"/>
    <w:rsid w:val="00387A69"/>
    <w:rsid w:val="00387EB1"/>
    <w:rsid w:val="003900EB"/>
    <w:rsid w:val="0039016B"/>
    <w:rsid w:val="00390D2B"/>
    <w:rsid w:val="00390E18"/>
    <w:rsid w:val="00392CB1"/>
    <w:rsid w:val="00393D24"/>
    <w:rsid w:val="00394F04"/>
    <w:rsid w:val="003A0188"/>
    <w:rsid w:val="003A3410"/>
    <w:rsid w:val="003A4738"/>
    <w:rsid w:val="003A5193"/>
    <w:rsid w:val="003A574B"/>
    <w:rsid w:val="003A5F3D"/>
    <w:rsid w:val="003A61A6"/>
    <w:rsid w:val="003B158E"/>
    <w:rsid w:val="003B1B63"/>
    <w:rsid w:val="003B4DEC"/>
    <w:rsid w:val="003B59DC"/>
    <w:rsid w:val="003B5F9E"/>
    <w:rsid w:val="003B7184"/>
    <w:rsid w:val="003C0465"/>
    <w:rsid w:val="003C13A7"/>
    <w:rsid w:val="003C4D95"/>
    <w:rsid w:val="003C5D78"/>
    <w:rsid w:val="003D148C"/>
    <w:rsid w:val="003D1802"/>
    <w:rsid w:val="003D1CF2"/>
    <w:rsid w:val="003D23CE"/>
    <w:rsid w:val="003D2AD7"/>
    <w:rsid w:val="003D4C38"/>
    <w:rsid w:val="003D5DC3"/>
    <w:rsid w:val="003D5FEA"/>
    <w:rsid w:val="003D60F4"/>
    <w:rsid w:val="003E02CC"/>
    <w:rsid w:val="003E04EE"/>
    <w:rsid w:val="003E1172"/>
    <w:rsid w:val="003E558E"/>
    <w:rsid w:val="003F03FF"/>
    <w:rsid w:val="003F0CDF"/>
    <w:rsid w:val="003F2D44"/>
    <w:rsid w:val="003F61B3"/>
    <w:rsid w:val="003F6214"/>
    <w:rsid w:val="00402B7B"/>
    <w:rsid w:val="00402F53"/>
    <w:rsid w:val="0040530D"/>
    <w:rsid w:val="00405A7B"/>
    <w:rsid w:val="00405CA6"/>
    <w:rsid w:val="00410550"/>
    <w:rsid w:val="004107B7"/>
    <w:rsid w:val="004107CC"/>
    <w:rsid w:val="00412014"/>
    <w:rsid w:val="004126C5"/>
    <w:rsid w:val="00413214"/>
    <w:rsid w:val="00414F1E"/>
    <w:rsid w:val="00415A18"/>
    <w:rsid w:val="00420456"/>
    <w:rsid w:val="00420A64"/>
    <w:rsid w:val="00421290"/>
    <w:rsid w:val="00422A5F"/>
    <w:rsid w:val="00425EDA"/>
    <w:rsid w:val="00431C63"/>
    <w:rsid w:val="00432248"/>
    <w:rsid w:val="0043288C"/>
    <w:rsid w:val="00433220"/>
    <w:rsid w:val="00437749"/>
    <w:rsid w:val="00440F6E"/>
    <w:rsid w:val="00442C35"/>
    <w:rsid w:val="00442D96"/>
    <w:rsid w:val="00443CB8"/>
    <w:rsid w:val="00450EAF"/>
    <w:rsid w:val="00454DAF"/>
    <w:rsid w:val="004555A2"/>
    <w:rsid w:val="004561EE"/>
    <w:rsid w:val="004563F0"/>
    <w:rsid w:val="0045640F"/>
    <w:rsid w:val="00456CEE"/>
    <w:rsid w:val="00457705"/>
    <w:rsid w:val="0046093B"/>
    <w:rsid w:val="0046303F"/>
    <w:rsid w:val="0046349A"/>
    <w:rsid w:val="0046487F"/>
    <w:rsid w:val="00465B89"/>
    <w:rsid w:val="00466632"/>
    <w:rsid w:val="00467A99"/>
    <w:rsid w:val="00467C9A"/>
    <w:rsid w:val="004718B5"/>
    <w:rsid w:val="00473EF5"/>
    <w:rsid w:val="00474439"/>
    <w:rsid w:val="004762F9"/>
    <w:rsid w:val="0047644F"/>
    <w:rsid w:val="004800D4"/>
    <w:rsid w:val="00482101"/>
    <w:rsid w:val="00483F34"/>
    <w:rsid w:val="004859C8"/>
    <w:rsid w:val="00485B1A"/>
    <w:rsid w:val="00487C07"/>
    <w:rsid w:val="004909EE"/>
    <w:rsid w:val="004923F9"/>
    <w:rsid w:val="0049365E"/>
    <w:rsid w:val="004A35B7"/>
    <w:rsid w:val="004A3F67"/>
    <w:rsid w:val="004A61A5"/>
    <w:rsid w:val="004B3A9F"/>
    <w:rsid w:val="004B4534"/>
    <w:rsid w:val="004B59C5"/>
    <w:rsid w:val="004B7542"/>
    <w:rsid w:val="004C4563"/>
    <w:rsid w:val="004C552E"/>
    <w:rsid w:val="004C5BDB"/>
    <w:rsid w:val="004C5FAD"/>
    <w:rsid w:val="004D1304"/>
    <w:rsid w:val="004D258A"/>
    <w:rsid w:val="004D272B"/>
    <w:rsid w:val="004D32C8"/>
    <w:rsid w:val="004D48E5"/>
    <w:rsid w:val="004D60FD"/>
    <w:rsid w:val="004D6B52"/>
    <w:rsid w:val="004E001B"/>
    <w:rsid w:val="004E0FD6"/>
    <w:rsid w:val="004E2A83"/>
    <w:rsid w:val="004E3144"/>
    <w:rsid w:val="004E7083"/>
    <w:rsid w:val="004F0619"/>
    <w:rsid w:val="004F1659"/>
    <w:rsid w:val="004F35BC"/>
    <w:rsid w:val="004F3918"/>
    <w:rsid w:val="004F5695"/>
    <w:rsid w:val="004F56D4"/>
    <w:rsid w:val="004F58AF"/>
    <w:rsid w:val="004F60C0"/>
    <w:rsid w:val="004F661A"/>
    <w:rsid w:val="004F6EA0"/>
    <w:rsid w:val="00500571"/>
    <w:rsid w:val="00502172"/>
    <w:rsid w:val="0050295A"/>
    <w:rsid w:val="00502C8C"/>
    <w:rsid w:val="00504F87"/>
    <w:rsid w:val="00505EE1"/>
    <w:rsid w:val="0050605A"/>
    <w:rsid w:val="00506143"/>
    <w:rsid w:val="005063C8"/>
    <w:rsid w:val="00514FDE"/>
    <w:rsid w:val="00515A68"/>
    <w:rsid w:val="00517923"/>
    <w:rsid w:val="0052032C"/>
    <w:rsid w:val="0053009B"/>
    <w:rsid w:val="0053012C"/>
    <w:rsid w:val="005355C9"/>
    <w:rsid w:val="00536E78"/>
    <w:rsid w:val="00540C9A"/>
    <w:rsid w:val="00541F29"/>
    <w:rsid w:val="00543295"/>
    <w:rsid w:val="0054360B"/>
    <w:rsid w:val="00543736"/>
    <w:rsid w:val="005479CF"/>
    <w:rsid w:val="00551699"/>
    <w:rsid w:val="0055330A"/>
    <w:rsid w:val="005556DD"/>
    <w:rsid w:val="00557CE1"/>
    <w:rsid w:val="00561657"/>
    <w:rsid w:val="00562A7A"/>
    <w:rsid w:val="005646FC"/>
    <w:rsid w:val="0056473C"/>
    <w:rsid w:val="00566015"/>
    <w:rsid w:val="00574179"/>
    <w:rsid w:val="005748B3"/>
    <w:rsid w:val="0058428E"/>
    <w:rsid w:val="005845B2"/>
    <w:rsid w:val="005848D5"/>
    <w:rsid w:val="00584907"/>
    <w:rsid w:val="0058498D"/>
    <w:rsid w:val="005849BC"/>
    <w:rsid w:val="00587F11"/>
    <w:rsid w:val="00593B84"/>
    <w:rsid w:val="00594A5C"/>
    <w:rsid w:val="00595B91"/>
    <w:rsid w:val="00596B72"/>
    <w:rsid w:val="005A4030"/>
    <w:rsid w:val="005B1737"/>
    <w:rsid w:val="005B2C79"/>
    <w:rsid w:val="005B4222"/>
    <w:rsid w:val="005B6248"/>
    <w:rsid w:val="005B77C0"/>
    <w:rsid w:val="005C0161"/>
    <w:rsid w:val="005C0E9C"/>
    <w:rsid w:val="005C2331"/>
    <w:rsid w:val="005C2AEA"/>
    <w:rsid w:val="005C384C"/>
    <w:rsid w:val="005C4340"/>
    <w:rsid w:val="005C57DD"/>
    <w:rsid w:val="005C5898"/>
    <w:rsid w:val="005C599F"/>
    <w:rsid w:val="005C635C"/>
    <w:rsid w:val="005D0108"/>
    <w:rsid w:val="005D32B4"/>
    <w:rsid w:val="005D468C"/>
    <w:rsid w:val="005D518C"/>
    <w:rsid w:val="005D5F28"/>
    <w:rsid w:val="005D7319"/>
    <w:rsid w:val="005D7595"/>
    <w:rsid w:val="005D7610"/>
    <w:rsid w:val="005E0271"/>
    <w:rsid w:val="005E120B"/>
    <w:rsid w:val="005E4546"/>
    <w:rsid w:val="005E4660"/>
    <w:rsid w:val="005F00D5"/>
    <w:rsid w:val="005F3152"/>
    <w:rsid w:val="005F37C3"/>
    <w:rsid w:val="005F45A6"/>
    <w:rsid w:val="005F609C"/>
    <w:rsid w:val="005F6936"/>
    <w:rsid w:val="00601082"/>
    <w:rsid w:val="006022B8"/>
    <w:rsid w:val="00602625"/>
    <w:rsid w:val="00602BC7"/>
    <w:rsid w:val="00605665"/>
    <w:rsid w:val="0061343E"/>
    <w:rsid w:val="006143C0"/>
    <w:rsid w:val="00615005"/>
    <w:rsid w:val="006167DE"/>
    <w:rsid w:val="00617B46"/>
    <w:rsid w:val="00617FC3"/>
    <w:rsid w:val="006219DE"/>
    <w:rsid w:val="00622118"/>
    <w:rsid w:val="00623BA2"/>
    <w:rsid w:val="00626614"/>
    <w:rsid w:val="0063005F"/>
    <w:rsid w:val="00630CC6"/>
    <w:rsid w:val="006312BA"/>
    <w:rsid w:val="00633721"/>
    <w:rsid w:val="00635A4B"/>
    <w:rsid w:val="00641EFE"/>
    <w:rsid w:val="0064496B"/>
    <w:rsid w:val="0064524E"/>
    <w:rsid w:val="0065094E"/>
    <w:rsid w:val="006531EE"/>
    <w:rsid w:val="006600AF"/>
    <w:rsid w:val="0066108F"/>
    <w:rsid w:val="00662318"/>
    <w:rsid w:val="00663B88"/>
    <w:rsid w:val="0066461D"/>
    <w:rsid w:val="006651D5"/>
    <w:rsid w:val="00665BD2"/>
    <w:rsid w:val="00665D95"/>
    <w:rsid w:val="00666588"/>
    <w:rsid w:val="00667066"/>
    <w:rsid w:val="00672F3B"/>
    <w:rsid w:val="00673EE4"/>
    <w:rsid w:val="00674C03"/>
    <w:rsid w:val="00677408"/>
    <w:rsid w:val="006777C5"/>
    <w:rsid w:val="006807D8"/>
    <w:rsid w:val="00682886"/>
    <w:rsid w:val="00682ADE"/>
    <w:rsid w:val="00683834"/>
    <w:rsid w:val="00683D48"/>
    <w:rsid w:val="0068474E"/>
    <w:rsid w:val="00684E0F"/>
    <w:rsid w:val="00685F96"/>
    <w:rsid w:val="00687698"/>
    <w:rsid w:val="00691FA8"/>
    <w:rsid w:val="006928C7"/>
    <w:rsid w:val="00692D6A"/>
    <w:rsid w:val="006951A7"/>
    <w:rsid w:val="00695592"/>
    <w:rsid w:val="006957FA"/>
    <w:rsid w:val="006958C0"/>
    <w:rsid w:val="00696329"/>
    <w:rsid w:val="006A0394"/>
    <w:rsid w:val="006A0C66"/>
    <w:rsid w:val="006A127D"/>
    <w:rsid w:val="006A3755"/>
    <w:rsid w:val="006A3757"/>
    <w:rsid w:val="006A4CF5"/>
    <w:rsid w:val="006A64ED"/>
    <w:rsid w:val="006B0741"/>
    <w:rsid w:val="006B11EA"/>
    <w:rsid w:val="006B317D"/>
    <w:rsid w:val="006B3383"/>
    <w:rsid w:val="006B3F07"/>
    <w:rsid w:val="006B70B2"/>
    <w:rsid w:val="006C0A0C"/>
    <w:rsid w:val="006C1F38"/>
    <w:rsid w:val="006C31AD"/>
    <w:rsid w:val="006C44AE"/>
    <w:rsid w:val="006C45A0"/>
    <w:rsid w:val="006C4655"/>
    <w:rsid w:val="006C4839"/>
    <w:rsid w:val="006D0C21"/>
    <w:rsid w:val="006D1AEA"/>
    <w:rsid w:val="006D2CC8"/>
    <w:rsid w:val="006D4C62"/>
    <w:rsid w:val="006E003D"/>
    <w:rsid w:val="006E0C2E"/>
    <w:rsid w:val="006E1C3F"/>
    <w:rsid w:val="006F0164"/>
    <w:rsid w:val="006F031D"/>
    <w:rsid w:val="006F1350"/>
    <w:rsid w:val="006F1615"/>
    <w:rsid w:val="006F3855"/>
    <w:rsid w:val="006F3910"/>
    <w:rsid w:val="006F599C"/>
    <w:rsid w:val="007002FF"/>
    <w:rsid w:val="00700D39"/>
    <w:rsid w:val="00701E8E"/>
    <w:rsid w:val="00704308"/>
    <w:rsid w:val="0071178A"/>
    <w:rsid w:val="00711A4A"/>
    <w:rsid w:val="00711BFA"/>
    <w:rsid w:val="00711F5C"/>
    <w:rsid w:val="007129C8"/>
    <w:rsid w:val="007140D1"/>
    <w:rsid w:val="00714799"/>
    <w:rsid w:val="0071731E"/>
    <w:rsid w:val="00720F91"/>
    <w:rsid w:val="007219EA"/>
    <w:rsid w:val="007241BA"/>
    <w:rsid w:val="00725728"/>
    <w:rsid w:val="00725A27"/>
    <w:rsid w:val="00726940"/>
    <w:rsid w:val="00730929"/>
    <w:rsid w:val="00730C99"/>
    <w:rsid w:val="0073595E"/>
    <w:rsid w:val="00735C77"/>
    <w:rsid w:val="007377CE"/>
    <w:rsid w:val="007405EA"/>
    <w:rsid w:val="00740806"/>
    <w:rsid w:val="007420D5"/>
    <w:rsid w:val="00743AE6"/>
    <w:rsid w:val="00744469"/>
    <w:rsid w:val="00745142"/>
    <w:rsid w:val="00745F27"/>
    <w:rsid w:val="007460C0"/>
    <w:rsid w:val="00746885"/>
    <w:rsid w:val="00752486"/>
    <w:rsid w:val="00753926"/>
    <w:rsid w:val="007542A1"/>
    <w:rsid w:val="00754FD3"/>
    <w:rsid w:val="00757475"/>
    <w:rsid w:val="00760F8B"/>
    <w:rsid w:val="00763501"/>
    <w:rsid w:val="007638D9"/>
    <w:rsid w:val="007642B4"/>
    <w:rsid w:val="00765793"/>
    <w:rsid w:val="007708EA"/>
    <w:rsid w:val="00771263"/>
    <w:rsid w:val="00771893"/>
    <w:rsid w:val="00774C67"/>
    <w:rsid w:val="0077726D"/>
    <w:rsid w:val="00780AA5"/>
    <w:rsid w:val="007811C1"/>
    <w:rsid w:val="00781206"/>
    <w:rsid w:val="00781A04"/>
    <w:rsid w:val="00785F8E"/>
    <w:rsid w:val="00790926"/>
    <w:rsid w:val="00794F77"/>
    <w:rsid w:val="007A052D"/>
    <w:rsid w:val="007A0D55"/>
    <w:rsid w:val="007A29EA"/>
    <w:rsid w:val="007A3507"/>
    <w:rsid w:val="007A4BEC"/>
    <w:rsid w:val="007A5199"/>
    <w:rsid w:val="007A5446"/>
    <w:rsid w:val="007B1180"/>
    <w:rsid w:val="007B160D"/>
    <w:rsid w:val="007B2EE2"/>
    <w:rsid w:val="007B328B"/>
    <w:rsid w:val="007B6144"/>
    <w:rsid w:val="007B6159"/>
    <w:rsid w:val="007B6F9A"/>
    <w:rsid w:val="007B73C6"/>
    <w:rsid w:val="007C0562"/>
    <w:rsid w:val="007C0B00"/>
    <w:rsid w:val="007C14E6"/>
    <w:rsid w:val="007C3A07"/>
    <w:rsid w:val="007C4521"/>
    <w:rsid w:val="007C465A"/>
    <w:rsid w:val="007C6F39"/>
    <w:rsid w:val="007D005D"/>
    <w:rsid w:val="007D197E"/>
    <w:rsid w:val="007D1CA5"/>
    <w:rsid w:val="007D2011"/>
    <w:rsid w:val="007D54A4"/>
    <w:rsid w:val="007E0C5E"/>
    <w:rsid w:val="007E105B"/>
    <w:rsid w:val="007E1C66"/>
    <w:rsid w:val="007E65B7"/>
    <w:rsid w:val="007F04BB"/>
    <w:rsid w:val="007F1DED"/>
    <w:rsid w:val="007F409C"/>
    <w:rsid w:val="00800BD7"/>
    <w:rsid w:val="0080214E"/>
    <w:rsid w:val="0080436D"/>
    <w:rsid w:val="0080552D"/>
    <w:rsid w:val="008079CD"/>
    <w:rsid w:val="008104C3"/>
    <w:rsid w:val="00812B22"/>
    <w:rsid w:val="0081456A"/>
    <w:rsid w:val="00814D6F"/>
    <w:rsid w:val="00817B87"/>
    <w:rsid w:val="00820069"/>
    <w:rsid w:val="008201AC"/>
    <w:rsid w:val="00820620"/>
    <w:rsid w:val="008217F0"/>
    <w:rsid w:val="00821DE0"/>
    <w:rsid w:val="0082404D"/>
    <w:rsid w:val="00826B19"/>
    <w:rsid w:val="00826F68"/>
    <w:rsid w:val="00831A79"/>
    <w:rsid w:val="00831B2F"/>
    <w:rsid w:val="00831CB6"/>
    <w:rsid w:val="00832185"/>
    <w:rsid w:val="008322C0"/>
    <w:rsid w:val="008359AD"/>
    <w:rsid w:val="00835BF0"/>
    <w:rsid w:val="008361F1"/>
    <w:rsid w:val="00837E22"/>
    <w:rsid w:val="008409A6"/>
    <w:rsid w:val="008447CD"/>
    <w:rsid w:val="0084565B"/>
    <w:rsid w:val="008506C6"/>
    <w:rsid w:val="00852180"/>
    <w:rsid w:val="00852E73"/>
    <w:rsid w:val="00855FEB"/>
    <w:rsid w:val="008601B8"/>
    <w:rsid w:val="008601D6"/>
    <w:rsid w:val="00861FFE"/>
    <w:rsid w:val="00863A94"/>
    <w:rsid w:val="00863FB3"/>
    <w:rsid w:val="008661C1"/>
    <w:rsid w:val="00867766"/>
    <w:rsid w:val="00870A68"/>
    <w:rsid w:val="00874B15"/>
    <w:rsid w:val="00874F9D"/>
    <w:rsid w:val="008778E6"/>
    <w:rsid w:val="00880D56"/>
    <w:rsid w:val="00881F65"/>
    <w:rsid w:val="008852A2"/>
    <w:rsid w:val="00886A25"/>
    <w:rsid w:val="00887FEE"/>
    <w:rsid w:val="00891CC2"/>
    <w:rsid w:val="00894A93"/>
    <w:rsid w:val="00894E85"/>
    <w:rsid w:val="00895424"/>
    <w:rsid w:val="00895CE6"/>
    <w:rsid w:val="00897078"/>
    <w:rsid w:val="00897194"/>
    <w:rsid w:val="00897654"/>
    <w:rsid w:val="008A148C"/>
    <w:rsid w:val="008A1627"/>
    <w:rsid w:val="008A4482"/>
    <w:rsid w:val="008A5D17"/>
    <w:rsid w:val="008A624D"/>
    <w:rsid w:val="008A791F"/>
    <w:rsid w:val="008B128C"/>
    <w:rsid w:val="008B2935"/>
    <w:rsid w:val="008B2FED"/>
    <w:rsid w:val="008B6346"/>
    <w:rsid w:val="008B635E"/>
    <w:rsid w:val="008C0679"/>
    <w:rsid w:val="008C5565"/>
    <w:rsid w:val="008C60E1"/>
    <w:rsid w:val="008D0EF3"/>
    <w:rsid w:val="008D240C"/>
    <w:rsid w:val="008D3B0A"/>
    <w:rsid w:val="008D64D1"/>
    <w:rsid w:val="008D6875"/>
    <w:rsid w:val="008D7272"/>
    <w:rsid w:val="008E115A"/>
    <w:rsid w:val="008E1E01"/>
    <w:rsid w:val="008F062F"/>
    <w:rsid w:val="008F42F3"/>
    <w:rsid w:val="008F6CAC"/>
    <w:rsid w:val="00900A7C"/>
    <w:rsid w:val="00900C09"/>
    <w:rsid w:val="00901480"/>
    <w:rsid w:val="00902646"/>
    <w:rsid w:val="00902CCA"/>
    <w:rsid w:val="00903558"/>
    <w:rsid w:val="00903B56"/>
    <w:rsid w:val="00907E0F"/>
    <w:rsid w:val="009133D6"/>
    <w:rsid w:val="0091366E"/>
    <w:rsid w:val="009137DE"/>
    <w:rsid w:val="00913BAB"/>
    <w:rsid w:val="0091428D"/>
    <w:rsid w:val="009224C8"/>
    <w:rsid w:val="00922BD5"/>
    <w:rsid w:val="0092304C"/>
    <w:rsid w:val="009232F4"/>
    <w:rsid w:val="00930B9E"/>
    <w:rsid w:val="00932474"/>
    <w:rsid w:val="00936414"/>
    <w:rsid w:val="00943AD2"/>
    <w:rsid w:val="00950EE6"/>
    <w:rsid w:val="0095114C"/>
    <w:rsid w:val="009514EA"/>
    <w:rsid w:val="00952BB1"/>
    <w:rsid w:val="00957B4F"/>
    <w:rsid w:val="009611DC"/>
    <w:rsid w:val="00961B41"/>
    <w:rsid w:val="009674E4"/>
    <w:rsid w:val="009679C8"/>
    <w:rsid w:val="00970ACB"/>
    <w:rsid w:val="00972A08"/>
    <w:rsid w:val="00972A78"/>
    <w:rsid w:val="00973A87"/>
    <w:rsid w:val="00980582"/>
    <w:rsid w:val="00984B4D"/>
    <w:rsid w:val="009869B1"/>
    <w:rsid w:val="00991927"/>
    <w:rsid w:val="00991DE4"/>
    <w:rsid w:val="00993387"/>
    <w:rsid w:val="009A2123"/>
    <w:rsid w:val="009A409E"/>
    <w:rsid w:val="009A4429"/>
    <w:rsid w:val="009A5E92"/>
    <w:rsid w:val="009A5EEB"/>
    <w:rsid w:val="009A6146"/>
    <w:rsid w:val="009A6EF6"/>
    <w:rsid w:val="009A7A48"/>
    <w:rsid w:val="009A7CF8"/>
    <w:rsid w:val="009B0702"/>
    <w:rsid w:val="009B37FA"/>
    <w:rsid w:val="009B471B"/>
    <w:rsid w:val="009B53DF"/>
    <w:rsid w:val="009B6227"/>
    <w:rsid w:val="009B63D4"/>
    <w:rsid w:val="009C1AE7"/>
    <w:rsid w:val="009C2C00"/>
    <w:rsid w:val="009C3552"/>
    <w:rsid w:val="009C3A7C"/>
    <w:rsid w:val="009C3EC0"/>
    <w:rsid w:val="009C42C9"/>
    <w:rsid w:val="009C5CC2"/>
    <w:rsid w:val="009C6235"/>
    <w:rsid w:val="009C6332"/>
    <w:rsid w:val="009D06ED"/>
    <w:rsid w:val="009D21DD"/>
    <w:rsid w:val="009D2959"/>
    <w:rsid w:val="009D2B7F"/>
    <w:rsid w:val="009D76C4"/>
    <w:rsid w:val="009D7D17"/>
    <w:rsid w:val="009E076D"/>
    <w:rsid w:val="009E0F97"/>
    <w:rsid w:val="009E17BA"/>
    <w:rsid w:val="009E6746"/>
    <w:rsid w:val="009E7BE0"/>
    <w:rsid w:val="009F027B"/>
    <w:rsid w:val="009F0327"/>
    <w:rsid w:val="009F3BEA"/>
    <w:rsid w:val="009F421D"/>
    <w:rsid w:val="009F4F10"/>
    <w:rsid w:val="009F5217"/>
    <w:rsid w:val="009F5C95"/>
    <w:rsid w:val="009F6E16"/>
    <w:rsid w:val="00A01FA3"/>
    <w:rsid w:val="00A02322"/>
    <w:rsid w:val="00A04496"/>
    <w:rsid w:val="00A073BC"/>
    <w:rsid w:val="00A10CFF"/>
    <w:rsid w:val="00A1106A"/>
    <w:rsid w:val="00A115E3"/>
    <w:rsid w:val="00A1381F"/>
    <w:rsid w:val="00A22D46"/>
    <w:rsid w:val="00A23106"/>
    <w:rsid w:val="00A27961"/>
    <w:rsid w:val="00A27AE8"/>
    <w:rsid w:val="00A30380"/>
    <w:rsid w:val="00A317C8"/>
    <w:rsid w:val="00A3197E"/>
    <w:rsid w:val="00A35733"/>
    <w:rsid w:val="00A3776D"/>
    <w:rsid w:val="00A41910"/>
    <w:rsid w:val="00A41957"/>
    <w:rsid w:val="00A43311"/>
    <w:rsid w:val="00A43AEF"/>
    <w:rsid w:val="00A45D39"/>
    <w:rsid w:val="00A47366"/>
    <w:rsid w:val="00A508CA"/>
    <w:rsid w:val="00A50D47"/>
    <w:rsid w:val="00A5351F"/>
    <w:rsid w:val="00A53B76"/>
    <w:rsid w:val="00A54327"/>
    <w:rsid w:val="00A555B2"/>
    <w:rsid w:val="00A57B1C"/>
    <w:rsid w:val="00A608EE"/>
    <w:rsid w:val="00A609CA"/>
    <w:rsid w:val="00A61BB3"/>
    <w:rsid w:val="00A6236D"/>
    <w:rsid w:val="00A64905"/>
    <w:rsid w:val="00A64F88"/>
    <w:rsid w:val="00A67007"/>
    <w:rsid w:val="00A70262"/>
    <w:rsid w:val="00A70448"/>
    <w:rsid w:val="00A710AB"/>
    <w:rsid w:val="00A71CD7"/>
    <w:rsid w:val="00A73303"/>
    <w:rsid w:val="00A74578"/>
    <w:rsid w:val="00A750DE"/>
    <w:rsid w:val="00A76ADB"/>
    <w:rsid w:val="00A812EA"/>
    <w:rsid w:val="00A81C9E"/>
    <w:rsid w:val="00A82FA2"/>
    <w:rsid w:val="00A83365"/>
    <w:rsid w:val="00A83885"/>
    <w:rsid w:val="00A8446A"/>
    <w:rsid w:val="00A85FB9"/>
    <w:rsid w:val="00A8602F"/>
    <w:rsid w:val="00A8618D"/>
    <w:rsid w:val="00A929C3"/>
    <w:rsid w:val="00A933F2"/>
    <w:rsid w:val="00A946FC"/>
    <w:rsid w:val="00A952EE"/>
    <w:rsid w:val="00A95E45"/>
    <w:rsid w:val="00AA0D19"/>
    <w:rsid w:val="00AA2832"/>
    <w:rsid w:val="00AA342B"/>
    <w:rsid w:val="00AA3971"/>
    <w:rsid w:val="00AA4400"/>
    <w:rsid w:val="00AA487D"/>
    <w:rsid w:val="00AA68CA"/>
    <w:rsid w:val="00AB31EA"/>
    <w:rsid w:val="00AB3204"/>
    <w:rsid w:val="00AB4982"/>
    <w:rsid w:val="00AB52EA"/>
    <w:rsid w:val="00AB7452"/>
    <w:rsid w:val="00AC1510"/>
    <w:rsid w:val="00AD1B28"/>
    <w:rsid w:val="00AD212C"/>
    <w:rsid w:val="00AD259C"/>
    <w:rsid w:val="00AD5465"/>
    <w:rsid w:val="00AE0023"/>
    <w:rsid w:val="00AE0682"/>
    <w:rsid w:val="00AE10F4"/>
    <w:rsid w:val="00AE38B3"/>
    <w:rsid w:val="00AE408C"/>
    <w:rsid w:val="00AE4530"/>
    <w:rsid w:val="00AE7BB7"/>
    <w:rsid w:val="00AF1272"/>
    <w:rsid w:val="00AF2C41"/>
    <w:rsid w:val="00AF2FD7"/>
    <w:rsid w:val="00AF4B8F"/>
    <w:rsid w:val="00AF5757"/>
    <w:rsid w:val="00AF6A2A"/>
    <w:rsid w:val="00B0128A"/>
    <w:rsid w:val="00B061A3"/>
    <w:rsid w:val="00B06279"/>
    <w:rsid w:val="00B07398"/>
    <w:rsid w:val="00B1057E"/>
    <w:rsid w:val="00B10C33"/>
    <w:rsid w:val="00B10FEA"/>
    <w:rsid w:val="00B1115B"/>
    <w:rsid w:val="00B12847"/>
    <w:rsid w:val="00B13805"/>
    <w:rsid w:val="00B154A8"/>
    <w:rsid w:val="00B17775"/>
    <w:rsid w:val="00B225C7"/>
    <w:rsid w:val="00B23191"/>
    <w:rsid w:val="00B234FA"/>
    <w:rsid w:val="00B26CCC"/>
    <w:rsid w:val="00B278B9"/>
    <w:rsid w:val="00B31251"/>
    <w:rsid w:val="00B33EE2"/>
    <w:rsid w:val="00B37132"/>
    <w:rsid w:val="00B40384"/>
    <w:rsid w:val="00B42F50"/>
    <w:rsid w:val="00B43089"/>
    <w:rsid w:val="00B43887"/>
    <w:rsid w:val="00B448FF"/>
    <w:rsid w:val="00B522AB"/>
    <w:rsid w:val="00B574FF"/>
    <w:rsid w:val="00B57C35"/>
    <w:rsid w:val="00B57F2B"/>
    <w:rsid w:val="00B60BAB"/>
    <w:rsid w:val="00B617D6"/>
    <w:rsid w:val="00B639B2"/>
    <w:rsid w:val="00B642D5"/>
    <w:rsid w:val="00B6467B"/>
    <w:rsid w:val="00B671DB"/>
    <w:rsid w:val="00B71044"/>
    <w:rsid w:val="00B71821"/>
    <w:rsid w:val="00B737FA"/>
    <w:rsid w:val="00B743A4"/>
    <w:rsid w:val="00B75191"/>
    <w:rsid w:val="00B7523A"/>
    <w:rsid w:val="00B753E7"/>
    <w:rsid w:val="00B75498"/>
    <w:rsid w:val="00B7747C"/>
    <w:rsid w:val="00B810DA"/>
    <w:rsid w:val="00B8114F"/>
    <w:rsid w:val="00B81584"/>
    <w:rsid w:val="00B818CE"/>
    <w:rsid w:val="00B83784"/>
    <w:rsid w:val="00B847A1"/>
    <w:rsid w:val="00B8489A"/>
    <w:rsid w:val="00B85F5B"/>
    <w:rsid w:val="00B8640B"/>
    <w:rsid w:val="00B9005B"/>
    <w:rsid w:val="00B91B7E"/>
    <w:rsid w:val="00B922B1"/>
    <w:rsid w:val="00B93BE6"/>
    <w:rsid w:val="00B95BEE"/>
    <w:rsid w:val="00B95FED"/>
    <w:rsid w:val="00B97DE9"/>
    <w:rsid w:val="00BA20CA"/>
    <w:rsid w:val="00BA2F65"/>
    <w:rsid w:val="00BA31BD"/>
    <w:rsid w:val="00BA324A"/>
    <w:rsid w:val="00BA44C2"/>
    <w:rsid w:val="00BA5029"/>
    <w:rsid w:val="00BB095D"/>
    <w:rsid w:val="00BB14C4"/>
    <w:rsid w:val="00BB35E9"/>
    <w:rsid w:val="00BB3D0C"/>
    <w:rsid w:val="00BB4596"/>
    <w:rsid w:val="00BB7D2D"/>
    <w:rsid w:val="00BC6D5B"/>
    <w:rsid w:val="00BC7AE4"/>
    <w:rsid w:val="00BC7EF2"/>
    <w:rsid w:val="00BD0C3A"/>
    <w:rsid w:val="00BD1069"/>
    <w:rsid w:val="00BD10A0"/>
    <w:rsid w:val="00BD110B"/>
    <w:rsid w:val="00BD1BFB"/>
    <w:rsid w:val="00BD36F7"/>
    <w:rsid w:val="00BD55BA"/>
    <w:rsid w:val="00BE0481"/>
    <w:rsid w:val="00BE210A"/>
    <w:rsid w:val="00BE2A65"/>
    <w:rsid w:val="00BE416E"/>
    <w:rsid w:val="00BE4A1F"/>
    <w:rsid w:val="00BE75CF"/>
    <w:rsid w:val="00BF0331"/>
    <w:rsid w:val="00BF1DE8"/>
    <w:rsid w:val="00BF1E83"/>
    <w:rsid w:val="00BF489D"/>
    <w:rsid w:val="00BF6F7E"/>
    <w:rsid w:val="00C008AC"/>
    <w:rsid w:val="00C03308"/>
    <w:rsid w:val="00C038C4"/>
    <w:rsid w:val="00C0432C"/>
    <w:rsid w:val="00C05785"/>
    <w:rsid w:val="00C05C07"/>
    <w:rsid w:val="00C0665A"/>
    <w:rsid w:val="00C104EE"/>
    <w:rsid w:val="00C11798"/>
    <w:rsid w:val="00C1200D"/>
    <w:rsid w:val="00C12ADF"/>
    <w:rsid w:val="00C145AF"/>
    <w:rsid w:val="00C151EA"/>
    <w:rsid w:val="00C214D5"/>
    <w:rsid w:val="00C217CE"/>
    <w:rsid w:val="00C25D4D"/>
    <w:rsid w:val="00C3391C"/>
    <w:rsid w:val="00C351DC"/>
    <w:rsid w:val="00C41D8A"/>
    <w:rsid w:val="00C43178"/>
    <w:rsid w:val="00C43718"/>
    <w:rsid w:val="00C44B91"/>
    <w:rsid w:val="00C45C86"/>
    <w:rsid w:val="00C46515"/>
    <w:rsid w:val="00C47A86"/>
    <w:rsid w:val="00C51B76"/>
    <w:rsid w:val="00C526D1"/>
    <w:rsid w:val="00C570B2"/>
    <w:rsid w:val="00C572C5"/>
    <w:rsid w:val="00C609D0"/>
    <w:rsid w:val="00C61EF1"/>
    <w:rsid w:val="00C6527F"/>
    <w:rsid w:val="00C73CDA"/>
    <w:rsid w:val="00C7413D"/>
    <w:rsid w:val="00C77353"/>
    <w:rsid w:val="00C77AEB"/>
    <w:rsid w:val="00C80FB1"/>
    <w:rsid w:val="00C86125"/>
    <w:rsid w:val="00C90323"/>
    <w:rsid w:val="00C90475"/>
    <w:rsid w:val="00C906F1"/>
    <w:rsid w:val="00C909C1"/>
    <w:rsid w:val="00CA3766"/>
    <w:rsid w:val="00CA492B"/>
    <w:rsid w:val="00CA6134"/>
    <w:rsid w:val="00CA7F50"/>
    <w:rsid w:val="00CB26B7"/>
    <w:rsid w:val="00CB27EF"/>
    <w:rsid w:val="00CB31F2"/>
    <w:rsid w:val="00CB3611"/>
    <w:rsid w:val="00CB3727"/>
    <w:rsid w:val="00CB3B88"/>
    <w:rsid w:val="00CB4BA5"/>
    <w:rsid w:val="00CB5D15"/>
    <w:rsid w:val="00CB6E9A"/>
    <w:rsid w:val="00CB7173"/>
    <w:rsid w:val="00CB7B28"/>
    <w:rsid w:val="00CB7D73"/>
    <w:rsid w:val="00CC10DB"/>
    <w:rsid w:val="00CC1447"/>
    <w:rsid w:val="00CC6FCF"/>
    <w:rsid w:val="00CC7342"/>
    <w:rsid w:val="00CC7DB9"/>
    <w:rsid w:val="00CD0097"/>
    <w:rsid w:val="00CD0BA5"/>
    <w:rsid w:val="00CD3AAE"/>
    <w:rsid w:val="00CD5971"/>
    <w:rsid w:val="00CE21CC"/>
    <w:rsid w:val="00CE6817"/>
    <w:rsid w:val="00CE6B91"/>
    <w:rsid w:val="00CF1328"/>
    <w:rsid w:val="00CF1F9E"/>
    <w:rsid w:val="00CF26B7"/>
    <w:rsid w:val="00CF35BE"/>
    <w:rsid w:val="00CF6E4B"/>
    <w:rsid w:val="00D0099D"/>
    <w:rsid w:val="00D00A99"/>
    <w:rsid w:val="00D02BFD"/>
    <w:rsid w:val="00D036A9"/>
    <w:rsid w:val="00D03871"/>
    <w:rsid w:val="00D075C4"/>
    <w:rsid w:val="00D1051E"/>
    <w:rsid w:val="00D11772"/>
    <w:rsid w:val="00D14074"/>
    <w:rsid w:val="00D14BCD"/>
    <w:rsid w:val="00D14F66"/>
    <w:rsid w:val="00D15FCE"/>
    <w:rsid w:val="00D16557"/>
    <w:rsid w:val="00D20497"/>
    <w:rsid w:val="00D22877"/>
    <w:rsid w:val="00D2377E"/>
    <w:rsid w:val="00D30E6A"/>
    <w:rsid w:val="00D31743"/>
    <w:rsid w:val="00D31902"/>
    <w:rsid w:val="00D32A5C"/>
    <w:rsid w:val="00D32BA4"/>
    <w:rsid w:val="00D35979"/>
    <w:rsid w:val="00D35A14"/>
    <w:rsid w:val="00D36C42"/>
    <w:rsid w:val="00D3753D"/>
    <w:rsid w:val="00D37F44"/>
    <w:rsid w:val="00D42BF5"/>
    <w:rsid w:val="00D45726"/>
    <w:rsid w:val="00D45F8F"/>
    <w:rsid w:val="00D47769"/>
    <w:rsid w:val="00D517C4"/>
    <w:rsid w:val="00D53E34"/>
    <w:rsid w:val="00D54435"/>
    <w:rsid w:val="00D57BF9"/>
    <w:rsid w:val="00D60E4B"/>
    <w:rsid w:val="00D60FE1"/>
    <w:rsid w:val="00D622EB"/>
    <w:rsid w:val="00D67B05"/>
    <w:rsid w:val="00D67C81"/>
    <w:rsid w:val="00D70547"/>
    <w:rsid w:val="00D729F7"/>
    <w:rsid w:val="00D72D70"/>
    <w:rsid w:val="00D743BE"/>
    <w:rsid w:val="00D75022"/>
    <w:rsid w:val="00D75091"/>
    <w:rsid w:val="00D77208"/>
    <w:rsid w:val="00D77739"/>
    <w:rsid w:val="00D8055E"/>
    <w:rsid w:val="00D86470"/>
    <w:rsid w:val="00D8691A"/>
    <w:rsid w:val="00D87BBE"/>
    <w:rsid w:val="00D90D13"/>
    <w:rsid w:val="00D9118A"/>
    <w:rsid w:val="00D923DF"/>
    <w:rsid w:val="00D943AB"/>
    <w:rsid w:val="00D967EC"/>
    <w:rsid w:val="00DA0BF4"/>
    <w:rsid w:val="00DA0D81"/>
    <w:rsid w:val="00DA2A55"/>
    <w:rsid w:val="00DA2D17"/>
    <w:rsid w:val="00DA3FBE"/>
    <w:rsid w:val="00DA79CA"/>
    <w:rsid w:val="00DB0167"/>
    <w:rsid w:val="00DB142A"/>
    <w:rsid w:val="00DB1FBE"/>
    <w:rsid w:val="00DB2CC7"/>
    <w:rsid w:val="00DB451C"/>
    <w:rsid w:val="00DB5110"/>
    <w:rsid w:val="00DB6AB3"/>
    <w:rsid w:val="00DB722D"/>
    <w:rsid w:val="00DC0F2B"/>
    <w:rsid w:val="00DC2832"/>
    <w:rsid w:val="00DC4789"/>
    <w:rsid w:val="00DD12B6"/>
    <w:rsid w:val="00DD1C1B"/>
    <w:rsid w:val="00DD1DCA"/>
    <w:rsid w:val="00DD2994"/>
    <w:rsid w:val="00DD5152"/>
    <w:rsid w:val="00DD6DB9"/>
    <w:rsid w:val="00DD762B"/>
    <w:rsid w:val="00DD79A4"/>
    <w:rsid w:val="00DE31B9"/>
    <w:rsid w:val="00DE3344"/>
    <w:rsid w:val="00DE3A29"/>
    <w:rsid w:val="00DE48AE"/>
    <w:rsid w:val="00DE6C8D"/>
    <w:rsid w:val="00DE75C0"/>
    <w:rsid w:val="00DE7CB9"/>
    <w:rsid w:val="00DF040A"/>
    <w:rsid w:val="00DF058D"/>
    <w:rsid w:val="00DF29EC"/>
    <w:rsid w:val="00E009A6"/>
    <w:rsid w:val="00E00E6F"/>
    <w:rsid w:val="00E04E77"/>
    <w:rsid w:val="00E06347"/>
    <w:rsid w:val="00E078FC"/>
    <w:rsid w:val="00E07AA9"/>
    <w:rsid w:val="00E159FF"/>
    <w:rsid w:val="00E15DB1"/>
    <w:rsid w:val="00E20612"/>
    <w:rsid w:val="00E224CD"/>
    <w:rsid w:val="00E25184"/>
    <w:rsid w:val="00E25654"/>
    <w:rsid w:val="00E2781D"/>
    <w:rsid w:val="00E30466"/>
    <w:rsid w:val="00E326ED"/>
    <w:rsid w:val="00E32EB1"/>
    <w:rsid w:val="00E33DC4"/>
    <w:rsid w:val="00E34720"/>
    <w:rsid w:val="00E34C77"/>
    <w:rsid w:val="00E35901"/>
    <w:rsid w:val="00E36145"/>
    <w:rsid w:val="00E37982"/>
    <w:rsid w:val="00E463D3"/>
    <w:rsid w:val="00E472F6"/>
    <w:rsid w:val="00E477FB"/>
    <w:rsid w:val="00E510A8"/>
    <w:rsid w:val="00E51AA0"/>
    <w:rsid w:val="00E51AB7"/>
    <w:rsid w:val="00E52AEF"/>
    <w:rsid w:val="00E52E92"/>
    <w:rsid w:val="00E54C9C"/>
    <w:rsid w:val="00E5549A"/>
    <w:rsid w:val="00E55A66"/>
    <w:rsid w:val="00E56222"/>
    <w:rsid w:val="00E57B8D"/>
    <w:rsid w:val="00E624DD"/>
    <w:rsid w:val="00E630FB"/>
    <w:rsid w:val="00E64866"/>
    <w:rsid w:val="00E64E04"/>
    <w:rsid w:val="00E65FD1"/>
    <w:rsid w:val="00E666FE"/>
    <w:rsid w:val="00E70009"/>
    <w:rsid w:val="00E708ED"/>
    <w:rsid w:val="00E71E7A"/>
    <w:rsid w:val="00E72B0F"/>
    <w:rsid w:val="00E73CD7"/>
    <w:rsid w:val="00E74044"/>
    <w:rsid w:val="00E747B6"/>
    <w:rsid w:val="00E76031"/>
    <w:rsid w:val="00E765C7"/>
    <w:rsid w:val="00E76829"/>
    <w:rsid w:val="00E7756D"/>
    <w:rsid w:val="00E80E70"/>
    <w:rsid w:val="00E82198"/>
    <w:rsid w:val="00E8272E"/>
    <w:rsid w:val="00E82E4D"/>
    <w:rsid w:val="00E83688"/>
    <w:rsid w:val="00E8520D"/>
    <w:rsid w:val="00E86729"/>
    <w:rsid w:val="00E87255"/>
    <w:rsid w:val="00E908FC"/>
    <w:rsid w:val="00E913D4"/>
    <w:rsid w:val="00E91B8D"/>
    <w:rsid w:val="00E93C33"/>
    <w:rsid w:val="00EA45D9"/>
    <w:rsid w:val="00EA5102"/>
    <w:rsid w:val="00EA7252"/>
    <w:rsid w:val="00EA77D6"/>
    <w:rsid w:val="00EB14C0"/>
    <w:rsid w:val="00EB1AC2"/>
    <w:rsid w:val="00EB4AF8"/>
    <w:rsid w:val="00EB66EF"/>
    <w:rsid w:val="00EB6B04"/>
    <w:rsid w:val="00EB6BA0"/>
    <w:rsid w:val="00EB7C07"/>
    <w:rsid w:val="00EC04A4"/>
    <w:rsid w:val="00EC25C9"/>
    <w:rsid w:val="00EC2CB4"/>
    <w:rsid w:val="00EC39C2"/>
    <w:rsid w:val="00EC54D7"/>
    <w:rsid w:val="00EC5F06"/>
    <w:rsid w:val="00EC63B4"/>
    <w:rsid w:val="00EC6885"/>
    <w:rsid w:val="00EC6EB7"/>
    <w:rsid w:val="00ED07D5"/>
    <w:rsid w:val="00ED3873"/>
    <w:rsid w:val="00ED4FF4"/>
    <w:rsid w:val="00ED7201"/>
    <w:rsid w:val="00EE1E36"/>
    <w:rsid w:val="00EE4822"/>
    <w:rsid w:val="00EE510B"/>
    <w:rsid w:val="00EF035D"/>
    <w:rsid w:val="00EF04B1"/>
    <w:rsid w:val="00EF24A0"/>
    <w:rsid w:val="00EF26B0"/>
    <w:rsid w:val="00EF2A59"/>
    <w:rsid w:val="00EF4EF8"/>
    <w:rsid w:val="00F007D2"/>
    <w:rsid w:val="00F0082F"/>
    <w:rsid w:val="00F00A9B"/>
    <w:rsid w:val="00F047C3"/>
    <w:rsid w:val="00F05427"/>
    <w:rsid w:val="00F05D84"/>
    <w:rsid w:val="00F07044"/>
    <w:rsid w:val="00F0727A"/>
    <w:rsid w:val="00F07687"/>
    <w:rsid w:val="00F14517"/>
    <w:rsid w:val="00F15742"/>
    <w:rsid w:val="00F16475"/>
    <w:rsid w:val="00F16748"/>
    <w:rsid w:val="00F2121E"/>
    <w:rsid w:val="00F2128B"/>
    <w:rsid w:val="00F2460C"/>
    <w:rsid w:val="00F2499B"/>
    <w:rsid w:val="00F27C23"/>
    <w:rsid w:val="00F32F10"/>
    <w:rsid w:val="00F35726"/>
    <w:rsid w:val="00F41365"/>
    <w:rsid w:val="00F41CA5"/>
    <w:rsid w:val="00F44E95"/>
    <w:rsid w:val="00F477AE"/>
    <w:rsid w:val="00F50EAD"/>
    <w:rsid w:val="00F54A91"/>
    <w:rsid w:val="00F55218"/>
    <w:rsid w:val="00F55755"/>
    <w:rsid w:val="00F561DA"/>
    <w:rsid w:val="00F673FE"/>
    <w:rsid w:val="00F6746A"/>
    <w:rsid w:val="00F81672"/>
    <w:rsid w:val="00F82BD0"/>
    <w:rsid w:val="00F82D1A"/>
    <w:rsid w:val="00F839F0"/>
    <w:rsid w:val="00F86554"/>
    <w:rsid w:val="00F87866"/>
    <w:rsid w:val="00F91050"/>
    <w:rsid w:val="00F94C59"/>
    <w:rsid w:val="00F95516"/>
    <w:rsid w:val="00F96126"/>
    <w:rsid w:val="00F969D6"/>
    <w:rsid w:val="00F97A62"/>
    <w:rsid w:val="00FA0B44"/>
    <w:rsid w:val="00FA23AD"/>
    <w:rsid w:val="00FA2E1D"/>
    <w:rsid w:val="00FA401B"/>
    <w:rsid w:val="00FB34BC"/>
    <w:rsid w:val="00FB4182"/>
    <w:rsid w:val="00FB6073"/>
    <w:rsid w:val="00FB656D"/>
    <w:rsid w:val="00FC1590"/>
    <w:rsid w:val="00FC2C73"/>
    <w:rsid w:val="00FC3ECF"/>
    <w:rsid w:val="00FC4816"/>
    <w:rsid w:val="00FC54BF"/>
    <w:rsid w:val="00FD1C24"/>
    <w:rsid w:val="00FD2DDB"/>
    <w:rsid w:val="00FD3135"/>
    <w:rsid w:val="00FD484F"/>
    <w:rsid w:val="00FD57BA"/>
    <w:rsid w:val="00FD6455"/>
    <w:rsid w:val="00FD6D15"/>
    <w:rsid w:val="00FD7585"/>
    <w:rsid w:val="00FD7CC4"/>
    <w:rsid w:val="00FE1530"/>
    <w:rsid w:val="00FE1B23"/>
    <w:rsid w:val="00FE2849"/>
    <w:rsid w:val="00FE2AA7"/>
    <w:rsid w:val="00FE38F1"/>
    <w:rsid w:val="00FE4016"/>
    <w:rsid w:val="00FE5A10"/>
    <w:rsid w:val="00FE606B"/>
    <w:rsid w:val="00FE6137"/>
    <w:rsid w:val="00FE63A0"/>
    <w:rsid w:val="00FF54C8"/>
    <w:rsid w:val="00FF5575"/>
    <w:rsid w:val="00FF731C"/>
    <w:rsid w:val="0771C22A"/>
    <w:rsid w:val="09B8C3ED"/>
    <w:rsid w:val="0B546694"/>
    <w:rsid w:val="0B7FB667"/>
    <w:rsid w:val="0FBB9762"/>
    <w:rsid w:val="105DAA89"/>
    <w:rsid w:val="146DA2B4"/>
    <w:rsid w:val="1801BD5A"/>
    <w:rsid w:val="1A479524"/>
    <w:rsid w:val="1B9FC072"/>
    <w:rsid w:val="1BD0A353"/>
    <w:rsid w:val="20FAFF6A"/>
    <w:rsid w:val="2285099B"/>
    <w:rsid w:val="25795A4A"/>
    <w:rsid w:val="26845F77"/>
    <w:rsid w:val="27E59DEA"/>
    <w:rsid w:val="2A4A63A2"/>
    <w:rsid w:val="2B069549"/>
    <w:rsid w:val="2D3179B5"/>
    <w:rsid w:val="2E3902A3"/>
    <w:rsid w:val="30E6886C"/>
    <w:rsid w:val="343A6B7C"/>
    <w:rsid w:val="358F71D4"/>
    <w:rsid w:val="35AD5D8F"/>
    <w:rsid w:val="38E68926"/>
    <w:rsid w:val="3A8C7701"/>
    <w:rsid w:val="3AE08046"/>
    <w:rsid w:val="3C9539A9"/>
    <w:rsid w:val="3E02839C"/>
    <w:rsid w:val="3F1ED1E7"/>
    <w:rsid w:val="3F38B01C"/>
    <w:rsid w:val="401C6672"/>
    <w:rsid w:val="4069A362"/>
    <w:rsid w:val="41CF6FD3"/>
    <w:rsid w:val="42E6DD6A"/>
    <w:rsid w:val="43707B28"/>
    <w:rsid w:val="4399191E"/>
    <w:rsid w:val="44E369EC"/>
    <w:rsid w:val="4505C793"/>
    <w:rsid w:val="452E1D35"/>
    <w:rsid w:val="45E17EDA"/>
    <w:rsid w:val="474102BC"/>
    <w:rsid w:val="479A9EE0"/>
    <w:rsid w:val="49FC7573"/>
    <w:rsid w:val="4FD1BC84"/>
    <w:rsid w:val="5093960B"/>
    <w:rsid w:val="53B0231B"/>
    <w:rsid w:val="552A6621"/>
    <w:rsid w:val="55E8C19C"/>
    <w:rsid w:val="567C175F"/>
    <w:rsid w:val="56F68B7E"/>
    <w:rsid w:val="5853F1CE"/>
    <w:rsid w:val="58677966"/>
    <w:rsid w:val="5CB152DF"/>
    <w:rsid w:val="5D277D54"/>
    <w:rsid w:val="6092C98D"/>
    <w:rsid w:val="60E7DC6A"/>
    <w:rsid w:val="6620FA1B"/>
    <w:rsid w:val="6664FB85"/>
    <w:rsid w:val="66C280FC"/>
    <w:rsid w:val="68C7541C"/>
    <w:rsid w:val="6905A7D3"/>
    <w:rsid w:val="6A25E8D3"/>
    <w:rsid w:val="6BBA8EFE"/>
    <w:rsid w:val="6CD52575"/>
    <w:rsid w:val="6FE43AC9"/>
    <w:rsid w:val="711FAD5F"/>
    <w:rsid w:val="724DD658"/>
    <w:rsid w:val="72C77B45"/>
    <w:rsid w:val="72DE979D"/>
    <w:rsid w:val="76829216"/>
    <w:rsid w:val="78C7B086"/>
    <w:rsid w:val="790DCF8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5D86"/>
  <w15:chartTrackingRefBased/>
  <w15:docId w15:val="{C19DC12C-06D0-4550-9D64-FE855856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6527F"/>
    <w:pPr>
      <w:spacing w:after="0" w:line="240" w:lineRule="auto"/>
    </w:pPr>
    <w:rPr>
      <w:rFonts w:ascii="Times New Roman" w:eastAsia="Times New Roman" w:hAnsi="Times New Roman" w:cs="Times New Roman"/>
      <w:kern w:val="0"/>
      <w14:ligatures w14:val="none"/>
    </w:rPr>
  </w:style>
  <w:style w:type="paragraph" w:styleId="Pealkiri1">
    <w:name w:val="heading 1"/>
    <w:basedOn w:val="Normaallaad"/>
    <w:next w:val="Normaallaad"/>
    <w:link w:val="Pealkiri1Mrk"/>
    <w:uiPriority w:val="9"/>
    <w:qFormat/>
    <w:rsid w:val="00C652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C652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C6527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C6527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C6527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C6527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C6527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C6527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C6527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6527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6527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6527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6527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6527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6527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6527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6527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6527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6527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C6527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6527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C6527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6527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TsitaatMrk">
    <w:name w:val="Tsitaat Märk"/>
    <w:basedOn w:val="Liguvaikefont"/>
    <w:link w:val="Tsitaat"/>
    <w:uiPriority w:val="29"/>
    <w:rsid w:val="00C6527F"/>
    <w:rPr>
      <w:i/>
      <w:iCs/>
      <w:color w:val="404040" w:themeColor="text1" w:themeTint="BF"/>
    </w:rPr>
  </w:style>
  <w:style w:type="paragraph" w:styleId="Loendilik">
    <w:name w:val="List Paragraph"/>
    <w:aliases w:val="Puce,Recommendation,List Paragraph1,List Paragraph11,L,Listaszerű bekezdés1,List Paragraph à moi,Kolorowa lista — akcent 11,Numerowanie,Dot pt,F5 List Paragraph"/>
    <w:basedOn w:val="Normaallaad"/>
    <w:uiPriority w:val="34"/>
    <w:qFormat/>
    <w:rsid w:val="00C6527F"/>
    <w:pPr>
      <w:spacing w:after="160" w:line="278" w:lineRule="auto"/>
      <w:ind w:left="720"/>
      <w:contextualSpacing/>
    </w:pPr>
    <w:rPr>
      <w:rFonts w:asciiTheme="minorHAnsi" w:eastAsiaTheme="minorHAnsi" w:hAnsiTheme="minorHAnsi" w:cstheme="minorBidi"/>
      <w:kern w:val="2"/>
      <w14:ligatures w14:val="standardContextual"/>
    </w:rPr>
  </w:style>
  <w:style w:type="character" w:styleId="Selgeltmrgatavrhutus">
    <w:name w:val="Intense Emphasis"/>
    <w:basedOn w:val="Liguvaikefont"/>
    <w:uiPriority w:val="21"/>
    <w:qFormat/>
    <w:rsid w:val="00C6527F"/>
    <w:rPr>
      <w:i/>
      <w:iCs/>
      <w:color w:val="0F4761" w:themeColor="accent1" w:themeShade="BF"/>
    </w:rPr>
  </w:style>
  <w:style w:type="paragraph" w:styleId="Selgeltmrgatavtsitaat">
    <w:name w:val="Intense Quote"/>
    <w:basedOn w:val="Normaallaad"/>
    <w:next w:val="Normaallaad"/>
    <w:link w:val="SelgeltmrgatavtsitaatMrk"/>
    <w:uiPriority w:val="30"/>
    <w:qFormat/>
    <w:rsid w:val="00C6527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C6527F"/>
    <w:rPr>
      <w:i/>
      <w:iCs/>
      <w:color w:val="0F4761" w:themeColor="accent1" w:themeShade="BF"/>
    </w:rPr>
  </w:style>
  <w:style w:type="character" w:styleId="Selgeltmrgatavviide">
    <w:name w:val="Intense Reference"/>
    <w:basedOn w:val="Liguvaikefont"/>
    <w:uiPriority w:val="32"/>
    <w:qFormat/>
    <w:rsid w:val="00C6527F"/>
    <w:rPr>
      <w:b/>
      <w:bCs/>
      <w:smallCaps/>
      <w:color w:val="0F4761" w:themeColor="accent1" w:themeShade="BF"/>
      <w:spacing w:val="5"/>
    </w:rPr>
  </w:style>
  <w:style w:type="table" w:styleId="Kontuurtabel">
    <w:name w:val="Table Grid"/>
    <w:basedOn w:val="Normaaltabel"/>
    <w:uiPriority w:val="99"/>
    <w:rsid w:val="00C6527F"/>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C6527F"/>
    <w:rPr>
      <w:rFonts w:cs="Times New Roman"/>
      <w:color w:val="0000FF"/>
      <w:u w:val="single"/>
    </w:rPr>
  </w:style>
  <w:style w:type="paragraph" w:styleId="Kehatekst2">
    <w:name w:val="Body Text 2"/>
    <w:basedOn w:val="Normaallaad"/>
    <w:link w:val="Kehatekst2Mrk"/>
    <w:uiPriority w:val="99"/>
    <w:rsid w:val="00C6527F"/>
    <w:pPr>
      <w:autoSpaceDE w:val="0"/>
      <w:autoSpaceDN w:val="0"/>
      <w:adjustRightInd w:val="0"/>
      <w:spacing w:line="276" w:lineRule="auto"/>
      <w:jc w:val="both"/>
    </w:pPr>
    <w:rPr>
      <w:i/>
      <w:iCs/>
      <w:sz w:val="20"/>
      <w:szCs w:val="20"/>
    </w:rPr>
  </w:style>
  <w:style w:type="character" w:customStyle="1" w:styleId="Kehatekst2Mrk">
    <w:name w:val="Kehatekst 2 Märk"/>
    <w:basedOn w:val="Liguvaikefont"/>
    <w:link w:val="Kehatekst2"/>
    <w:uiPriority w:val="99"/>
    <w:rsid w:val="00C6527F"/>
    <w:rPr>
      <w:rFonts w:ascii="Times New Roman" w:eastAsia="Times New Roman" w:hAnsi="Times New Roman" w:cs="Times New Roman"/>
      <w:i/>
      <w:iCs/>
      <w:kern w:val="0"/>
      <w:sz w:val="20"/>
      <w:szCs w:val="20"/>
      <w14:ligatures w14:val="none"/>
    </w:rPr>
  </w:style>
  <w:style w:type="character" w:styleId="Lahendamatamainimine">
    <w:name w:val="Unresolved Mention"/>
    <w:basedOn w:val="Liguvaikefont"/>
    <w:uiPriority w:val="99"/>
    <w:semiHidden/>
    <w:unhideWhenUsed/>
    <w:rsid w:val="004F3918"/>
    <w:rPr>
      <w:color w:val="605E5C"/>
      <w:shd w:val="clear" w:color="auto" w:fill="E1DFDD"/>
    </w:rPr>
  </w:style>
  <w:style w:type="character" w:styleId="Kommentaariviide">
    <w:name w:val="annotation reference"/>
    <w:aliases w:val="Heading 4 Char1"/>
    <w:basedOn w:val="Liguvaikefont"/>
    <w:uiPriority w:val="99"/>
    <w:unhideWhenUsed/>
    <w:rsid w:val="00A22D46"/>
    <w:rPr>
      <w:sz w:val="16"/>
      <w:szCs w:val="16"/>
    </w:rPr>
  </w:style>
  <w:style w:type="paragraph" w:styleId="Kommentaaritekst">
    <w:name w:val="annotation text"/>
    <w:basedOn w:val="Normaallaad"/>
    <w:link w:val="KommentaaritekstMrk"/>
    <w:uiPriority w:val="99"/>
    <w:unhideWhenUsed/>
    <w:rsid w:val="00A22D46"/>
    <w:rPr>
      <w:sz w:val="20"/>
      <w:szCs w:val="20"/>
    </w:rPr>
  </w:style>
  <w:style w:type="character" w:customStyle="1" w:styleId="KommentaaritekstMrk">
    <w:name w:val="Kommentaari tekst Märk"/>
    <w:basedOn w:val="Liguvaikefont"/>
    <w:link w:val="Kommentaaritekst"/>
    <w:uiPriority w:val="99"/>
    <w:rsid w:val="00A22D46"/>
    <w:rPr>
      <w:rFonts w:ascii="Times New Roman" w:eastAsia="Times New Roman" w:hAnsi="Times New Roman"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A22D46"/>
    <w:rPr>
      <w:b/>
      <w:bCs/>
    </w:rPr>
  </w:style>
  <w:style w:type="character" w:customStyle="1" w:styleId="KommentaariteemaMrk">
    <w:name w:val="Kommentaari teema Märk"/>
    <w:basedOn w:val="KommentaaritekstMrk"/>
    <w:link w:val="Kommentaariteema"/>
    <w:uiPriority w:val="99"/>
    <w:semiHidden/>
    <w:rsid w:val="00A22D46"/>
    <w:rPr>
      <w:rFonts w:ascii="Times New Roman" w:eastAsia="Times New Roman" w:hAnsi="Times New Roman" w:cs="Times New Roman"/>
      <w:b/>
      <w:bCs/>
      <w:kern w:val="0"/>
      <w:sz w:val="20"/>
      <w:szCs w:val="20"/>
      <w14:ligatures w14:val="none"/>
    </w:rPr>
  </w:style>
  <w:style w:type="paragraph" w:styleId="Normaallaadveeb">
    <w:name w:val="Normal (Web)"/>
    <w:basedOn w:val="Normaallaad"/>
    <w:link w:val="NormaallaadveebMrk"/>
    <w:uiPriority w:val="99"/>
    <w:unhideWhenUsed/>
    <w:rsid w:val="00311D14"/>
    <w:pPr>
      <w:spacing w:before="240" w:after="100" w:afterAutospacing="1"/>
    </w:pPr>
    <w:rPr>
      <w:lang w:eastAsia="et-EE"/>
    </w:rPr>
  </w:style>
  <w:style w:type="character" w:customStyle="1" w:styleId="NormaallaadveebMrk">
    <w:name w:val="Normaallaad (veeb) Märk"/>
    <w:basedOn w:val="Liguvaikefont"/>
    <w:link w:val="Normaallaadveeb"/>
    <w:uiPriority w:val="99"/>
    <w:locked/>
    <w:rsid w:val="00311D14"/>
    <w:rPr>
      <w:rFonts w:ascii="Times New Roman" w:eastAsia="Times New Roman" w:hAnsi="Times New Roman" w:cs="Times New Roman"/>
      <w:kern w:val="0"/>
      <w:lang w:eastAsia="et-EE"/>
      <w14:ligatures w14:val="none"/>
    </w:rPr>
  </w:style>
  <w:style w:type="paragraph" w:customStyle="1" w:styleId="oj-normal">
    <w:name w:val="oj-normal"/>
    <w:basedOn w:val="Normaallaad"/>
    <w:rsid w:val="0000581D"/>
    <w:pPr>
      <w:spacing w:before="100" w:beforeAutospacing="1" w:after="100" w:afterAutospacing="1"/>
    </w:pPr>
    <w:rPr>
      <w:lang w:eastAsia="et-EE"/>
    </w:rPr>
  </w:style>
  <w:style w:type="paragraph" w:styleId="Pis">
    <w:name w:val="header"/>
    <w:basedOn w:val="Normaallaad"/>
    <w:link w:val="PisMrk"/>
    <w:uiPriority w:val="99"/>
    <w:unhideWhenUsed/>
    <w:rsid w:val="00CD5971"/>
    <w:pPr>
      <w:tabs>
        <w:tab w:val="center" w:pos="4536"/>
        <w:tab w:val="right" w:pos="9072"/>
      </w:tabs>
    </w:pPr>
  </w:style>
  <w:style w:type="character" w:customStyle="1" w:styleId="PisMrk">
    <w:name w:val="Päis Märk"/>
    <w:basedOn w:val="Liguvaikefont"/>
    <w:link w:val="Pis"/>
    <w:uiPriority w:val="99"/>
    <w:rsid w:val="00CD5971"/>
    <w:rPr>
      <w:rFonts w:ascii="Times New Roman" w:eastAsia="Times New Roman" w:hAnsi="Times New Roman" w:cs="Times New Roman"/>
      <w:kern w:val="0"/>
      <w14:ligatures w14:val="none"/>
    </w:rPr>
  </w:style>
  <w:style w:type="paragraph" w:styleId="Jalus">
    <w:name w:val="footer"/>
    <w:basedOn w:val="Normaallaad"/>
    <w:link w:val="JalusMrk"/>
    <w:uiPriority w:val="99"/>
    <w:unhideWhenUsed/>
    <w:rsid w:val="00CD5971"/>
    <w:pPr>
      <w:tabs>
        <w:tab w:val="center" w:pos="4536"/>
        <w:tab w:val="right" w:pos="9072"/>
      </w:tabs>
    </w:pPr>
  </w:style>
  <w:style w:type="character" w:customStyle="1" w:styleId="JalusMrk">
    <w:name w:val="Jalus Märk"/>
    <w:basedOn w:val="Liguvaikefont"/>
    <w:link w:val="Jalus"/>
    <w:uiPriority w:val="99"/>
    <w:rsid w:val="00CD5971"/>
    <w:rPr>
      <w:rFonts w:ascii="Times New Roman" w:eastAsia="Times New Roman" w:hAnsi="Times New Roman" w:cs="Times New Roman"/>
      <w:kern w:val="0"/>
      <w14:ligatures w14:val="none"/>
    </w:rPr>
  </w:style>
  <w:style w:type="paragraph" w:styleId="Allmrkusetekst">
    <w:name w:val="footnote text"/>
    <w:basedOn w:val="Normaallaad"/>
    <w:link w:val="AllmrkusetekstMrk"/>
    <w:uiPriority w:val="99"/>
    <w:semiHidden/>
    <w:unhideWhenUsed/>
    <w:rsid w:val="00B818CE"/>
    <w:rPr>
      <w:rFonts w:ascii="Aptos" w:eastAsiaTheme="minorHAnsi" w:hAnsi="Aptos" w:cs="Aptos"/>
      <w:sz w:val="20"/>
      <w:szCs w:val="20"/>
      <w14:ligatures w14:val="standardContextual"/>
    </w:rPr>
  </w:style>
  <w:style w:type="character" w:customStyle="1" w:styleId="AllmrkusetekstMrk">
    <w:name w:val="Allmärkuse tekst Märk"/>
    <w:basedOn w:val="Liguvaikefont"/>
    <w:link w:val="Allmrkusetekst"/>
    <w:uiPriority w:val="99"/>
    <w:semiHidden/>
    <w:rsid w:val="00B818CE"/>
    <w:rPr>
      <w:rFonts w:ascii="Aptos" w:hAnsi="Aptos" w:cs="Aptos"/>
      <w:kern w:val="0"/>
      <w:sz w:val="20"/>
      <w:szCs w:val="20"/>
    </w:rPr>
  </w:style>
  <w:style w:type="character" w:styleId="Allmrkuseviide">
    <w:name w:val="footnote reference"/>
    <w:basedOn w:val="Liguvaikefont"/>
    <w:uiPriority w:val="99"/>
    <w:semiHidden/>
    <w:unhideWhenUsed/>
    <w:rsid w:val="00B818CE"/>
    <w:rPr>
      <w:vertAlign w:val="superscript"/>
    </w:rPr>
  </w:style>
  <w:style w:type="paragraph" w:styleId="Redaktsioon">
    <w:name w:val="Revision"/>
    <w:hidden/>
    <w:uiPriority w:val="99"/>
    <w:semiHidden/>
    <w:rsid w:val="006C0A0C"/>
    <w:pPr>
      <w:spacing w:after="0" w:line="240" w:lineRule="auto"/>
    </w:pPr>
    <w:rPr>
      <w:rFonts w:ascii="Times New Roman" w:eastAsia="Times New Roman" w:hAnsi="Times New Roman" w:cs="Times New Roman"/>
      <w:kern w:val="0"/>
      <w14:ligatures w14:val="none"/>
    </w:rPr>
  </w:style>
  <w:style w:type="character" w:styleId="Klastatudhperlink">
    <w:name w:val="FollowedHyperlink"/>
    <w:basedOn w:val="Liguvaikefont"/>
    <w:uiPriority w:val="99"/>
    <w:semiHidden/>
    <w:unhideWhenUsed/>
    <w:rsid w:val="004666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opa.europa.eu/document/download/dbf9bc44-17aa-473b-9f65-58a59afb89c4_en?filename=6.2.2_EIOPA-BoS-25-712%20-%20RTS%20market%20share%20for%20pre-emptive%20recovery%20planning.pdf&amp;prefLang=et" TargetMode="External"/><Relationship Id="rId18" Type="http://schemas.openxmlformats.org/officeDocument/2006/relationships/hyperlink" Target="https://www.eiopa.europa.eu/document/download/df1bfab5-a1ec-447d-8290-34033720f52c_en?filename=Guidelines%20on%20the%20notion%20of%20diversity%20for%20the%20selection%20of%20ASMB%20members.pdf&amp;prefLang=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iopa.europa.eu/document/download/68cf5260-39f9-41c9-9ce8-00c4b54d3c6f_en?filename=Consultation%20Paper%20on%20the%20proposal%20for%20RTSs%20on%20criteria%20for%20pre-emptive%20recovery%20planning%20requirements%20and%20methods%20to%20be%20used%20when%20determining%20the%20market%20shares.pdf" TargetMode="External"/><Relationship Id="rId17" Type="http://schemas.openxmlformats.org/officeDocument/2006/relationships/hyperlink" Target="https://www.eiopa.europa.eu/document/download/dbf9bc44-17aa-473b-9f65-58a59afb89c4_en?filename=6.2.2_EIOPA-BoS-25-712%20-%20RTS%20market%20share%20for%20pre-emptive%20recovery%20planning.pdf&amp;prefLang=et" TargetMode="External"/><Relationship Id="rId2" Type="http://schemas.openxmlformats.org/officeDocument/2006/relationships/customXml" Target="../customXml/item2.xml"/><Relationship Id="rId16" Type="http://schemas.openxmlformats.org/officeDocument/2006/relationships/hyperlink" Target="https://www.eiopa.europa.eu/document/download/68cf5260-39f9-41c9-9ce8-00c4b54d3c6f_en?filename=Consultation%20Paper%20on%20the%20proposal%20for%20RTSs%20on%20criteria%20for%20pre-emptive%20recovery%20planning%20requirements%20and%20methods%20to%20be%20used%20when%20determining%20the%20market%20shar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opa.europa.eu/consultations/discussion-paper-eiopas-report-integrated-data-collection_en?prefLang=et" TargetMode="External"/><Relationship Id="rId5" Type="http://schemas.openxmlformats.org/officeDocument/2006/relationships/numbering" Target="numbering.xml"/><Relationship Id="rId15" Type="http://schemas.openxmlformats.org/officeDocument/2006/relationships/hyperlink" Target="https://www.eiopa.europa.eu/publications/final-report-supervisory-reporting-and-public-disclosure-requirements-under-solvency-ii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opa.europa.eu/document/download/5a671bdb-aef7-4c4f-ae31-00c70e640d27_en?filename=Application%20guidance%20on%20running%20climate%20change%20materiality%20assessment%20and%20using%20climate%20change%20scenarios%20in%20ORSA.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64888-F2B0-4456-9CAD-61AAFD630180}">
  <ds:schemaRefs>
    <ds:schemaRef ds:uri="http://schemas.openxmlformats.org/officeDocument/2006/bibliography"/>
  </ds:schemaRefs>
</ds:datastoreItem>
</file>

<file path=customXml/itemProps2.xml><?xml version="1.0" encoding="utf-8"?>
<ds:datastoreItem xmlns:ds="http://schemas.openxmlformats.org/officeDocument/2006/customXml" ds:itemID="{51022046-F033-4393-ACE9-4D0236B2EF82}"/>
</file>

<file path=customXml/itemProps3.xml><?xml version="1.0" encoding="utf-8"?>
<ds:datastoreItem xmlns:ds="http://schemas.openxmlformats.org/officeDocument/2006/customXml" ds:itemID="{9177AF76-8909-4D18-BA70-C062A187DB64}">
  <ds:schemaRefs>
    <ds:schemaRef ds:uri="http://schemas.microsoft.com/office/2006/metadata/properties"/>
    <ds:schemaRef ds:uri="http://schemas.microsoft.com/office/infopath/2007/PartnerControls"/>
    <ds:schemaRef ds:uri="3d7fb3fa-7f75-4382-a1fe-43b99e0a9782"/>
    <ds:schemaRef ds:uri="f34a2039-5315-4cd4-894d-271f5f39295e"/>
  </ds:schemaRefs>
</ds:datastoreItem>
</file>

<file path=customXml/itemProps4.xml><?xml version="1.0" encoding="utf-8"?>
<ds:datastoreItem xmlns:ds="http://schemas.openxmlformats.org/officeDocument/2006/customXml" ds:itemID="{A0270229-7CC6-4324-B0E7-64393F9E1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7862</Words>
  <Characters>45603</Characters>
  <Application>Microsoft Office Word</Application>
  <DocSecurity>0</DocSecurity>
  <Lines>380</Lines>
  <Paragraphs>106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53359</CharactersWithSpaces>
  <SharedDoc>false</SharedDoc>
  <HLinks>
    <vt:vector size="96" baseType="variant">
      <vt:variant>
        <vt:i4>4522022</vt:i4>
      </vt:variant>
      <vt:variant>
        <vt:i4>63</vt:i4>
      </vt:variant>
      <vt:variant>
        <vt:i4>0</vt:i4>
      </vt:variant>
      <vt:variant>
        <vt:i4>5</vt:i4>
      </vt:variant>
      <vt:variant>
        <vt:lpwstr>https://www.eiopa.europa.eu/document/download/df1bfab5-a1ec-447d-8290-34033720f52c_en?filename=Guidelines%20on%20the%20notion%20of%20diversity%20for%20the%20selection%20of%20ASMB%20members.pdf&amp;prefLang=et</vt:lpwstr>
      </vt:variant>
      <vt:variant>
        <vt:lpwstr/>
      </vt:variant>
      <vt:variant>
        <vt:i4>7667747</vt:i4>
      </vt:variant>
      <vt:variant>
        <vt:i4>60</vt:i4>
      </vt:variant>
      <vt:variant>
        <vt:i4>0</vt:i4>
      </vt:variant>
      <vt:variant>
        <vt:i4>5</vt:i4>
      </vt:variant>
      <vt:variant>
        <vt:lpwstr>https://www.eiopa.europa.eu/document/download/dbf9bc44-17aa-473b-9f65-58a59afb89c4_en?filename=6.2.2_EIOPA-BoS-25-712%20-%20RTS%20market%20share%20for%20pre-emptive%20recovery%20planning.pdf&amp;prefLang=et</vt:lpwstr>
      </vt:variant>
      <vt:variant>
        <vt:lpwstr/>
      </vt:variant>
      <vt:variant>
        <vt:i4>2228292</vt:i4>
      </vt:variant>
      <vt:variant>
        <vt:i4>57</vt:i4>
      </vt:variant>
      <vt:variant>
        <vt:i4>0</vt:i4>
      </vt:variant>
      <vt:variant>
        <vt:i4>5</vt:i4>
      </vt:variant>
      <vt:variant>
        <vt:lpwstr>https://www.eiopa.europa.eu/document/download/68cf5260-39f9-41c9-9ce8-00c4b54d3c6f_en?filename=Consultation%20Paper%20on%20the%20proposal%20for%20RTSs%20on%20criteria%20for%20pre-emptive%20recovery%20planning%20requirements%20and%20methods%20to%20be%20used%20when%20determining%20the%20market%20shares.pdf</vt:lpwstr>
      </vt:variant>
      <vt:variant>
        <vt:lpwstr/>
      </vt:variant>
      <vt:variant>
        <vt:i4>1441869</vt:i4>
      </vt:variant>
      <vt:variant>
        <vt:i4>54</vt:i4>
      </vt:variant>
      <vt:variant>
        <vt:i4>0</vt:i4>
      </vt:variant>
      <vt:variant>
        <vt:i4>5</vt:i4>
      </vt:variant>
      <vt:variant>
        <vt:lpwstr>https://www.eiopa.europa.eu/document/download/2970329c-6575-45f1-bcb4-c2c4cd0bf029_en?filename=EIOPA-BoS-25-386_Final%20report%20on%20RTS%20on%20Liquidity%20Risk%20Management%20Plans.pdf</vt:lpwstr>
      </vt:variant>
      <vt:variant>
        <vt:lpwstr/>
      </vt:variant>
      <vt:variant>
        <vt:i4>7667747</vt:i4>
      </vt:variant>
      <vt:variant>
        <vt:i4>51</vt:i4>
      </vt:variant>
      <vt:variant>
        <vt:i4>0</vt:i4>
      </vt:variant>
      <vt:variant>
        <vt:i4>5</vt:i4>
      </vt:variant>
      <vt:variant>
        <vt:lpwstr>https://www.eiopa.europa.eu/document/download/dbf9bc44-17aa-473b-9f65-58a59afb89c4_en?filename=6.2.2_EIOPA-BoS-25-712%20-%20RTS%20market%20share%20for%20pre-emptive%20recovery%20planning.pdf&amp;prefLang=et</vt:lpwstr>
      </vt:variant>
      <vt:variant>
        <vt:lpwstr/>
      </vt:variant>
      <vt:variant>
        <vt:i4>2228292</vt:i4>
      </vt:variant>
      <vt:variant>
        <vt:i4>48</vt:i4>
      </vt:variant>
      <vt:variant>
        <vt:i4>0</vt:i4>
      </vt:variant>
      <vt:variant>
        <vt:i4>5</vt:i4>
      </vt:variant>
      <vt:variant>
        <vt:lpwstr>https://www.eiopa.europa.eu/document/download/68cf5260-39f9-41c9-9ce8-00c4b54d3c6f_en?filename=Consultation%20Paper%20on%20the%20proposal%20for%20RTSs%20on%20criteria%20for%20pre-emptive%20recovery%20planning%20requirements%20and%20methods%20to%20be%20used%20when%20determining%20the%20market%20shares.pdf</vt:lpwstr>
      </vt:variant>
      <vt:variant>
        <vt:lpwstr/>
      </vt:variant>
      <vt:variant>
        <vt:i4>5177421</vt:i4>
      </vt:variant>
      <vt:variant>
        <vt:i4>45</vt:i4>
      </vt:variant>
      <vt:variant>
        <vt:i4>0</vt:i4>
      </vt:variant>
      <vt:variant>
        <vt:i4>5</vt:i4>
      </vt:variant>
      <vt:variant>
        <vt:lpwstr>https://www.riigiteataja.ee/akt/kr%C3%BCts</vt:lpwstr>
      </vt:variant>
      <vt:variant>
        <vt:lpwstr>para36</vt:lpwstr>
      </vt:variant>
      <vt:variant>
        <vt:i4>7798825</vt:i4>
      </vt:variant>
      <vt:variant>
        <vt:i4>42</vt:i4>
      </vt:variant>
      <vt:variant>
        <vt:i4>0</vt:i4>
      </vt:variant>
      <vt:variant>
        <vt:i4>5</vt:i4>
      </vt:variant>
      <vt:variant>
        <vt:lpwstr>https://www.riigiteataja.ee/akt/kios</vt:lpwstr>
      </vt:variant>
      <vt:variant>
        <vt:lpwstr>para80</vt:lpwstr>
      </vt:variant>
      <vt:variant>
        <vt:i4>6815791</vt:i4>
      </vt:variant>
      <vt:variant>
        <vt:i4>39</vt:i4>
      </vt:variant>
      <vt:variant>
        <vt:i4>0</vt:i4>
      </vt:variant>
      <vt:variant>
        <vt:i4>5</vt:i4>
      </vt:variant>
      <vt:variant>
        <vt:lpwstr>https://www.riigiteataja.ee/akt/evks</vt:lpwstr>
      </vt:variant>
      <vt:variant>
        <vt:lpwstr>para40</vt:lpwstr>
      </vt:variant>
      <vt:variant>
        <vt:i4>983057</vt:i4>
      </vt:variant>
      <vt:variant>
        <vt:i4>36</vt:i4>
      </vt:variant>
      <vt:variant>
        <vt:i4>0</vt:i4>
      </vt:variant>
      <vt:variant>
        <vt:i4>5</vt:i4>
      </vt:variant>
      <vt:variant>
        <vt:lpwstr>https://www.riigiteataja.ee/akt/vpts</vt:lpwstr>
      </vt:variant>
      <vt:variant>
        <vt:lpwstr>para234b1</vt:lpwstr>
      </vt:variant>
      <vt:variant>
        <vt:i4>7209083</vt:i4>
      </vt:variant>
      <vt:variant>
        <vt:i4>33</vt:i4>
      </vt:variant>
      <vt:variant>
        <vt:i4>0</vt:i4>
      </vt:variant>
      <vt:variant>
        <vt:i4>5</vt:i4>
      </vt:variant>
      <vt:variant>
        <vt:lpwstr>https://www.riigiteataja.ee/akt/kas</vt:lpwstr>
      </vt:variant>
      <vt:variant>
        <vt:lpwstr>para104b1</vt:lpwstr>
      </vt:variant>
      <vt:variant>
        <vt:i4>7995441</vt:i4>
      </vt:variant>
      <vt:variant>
        <vt:i4>30</vt:i4>
      </vt:variant>
      <vt:variant>
        <vt:i4>0</vt:i4>
      </vt:variant>
      <vt:variant>
        <vt:i4>5</vt:i4>
      </vt:variant>
      <vt:variant>
        <vt:lpwstr>https://www.riigiteataja.ee/akt/kavs</vt:lpwstr>
      </vt:variant>
      <vt:variant>
        <vt:lpwstr>para95</vt:lpwstr>
      </vt:variant>
      <vt:variant>
        <vt:i4>1507406</vt:i4>
      </vt:variant>
      <vt:variant>
        <vt:i4>27</vt:i4>
      </vt:variant>
      <vt:variant>
        <vt:i4>0</vt:i4>
      </vt:variant>
      <vt:variant>
        <vt:i4>5</vt:i4>
      </vt:variant>
      <vt:variant>
        <vt:lpwstr>https://www.riigiteataja.ee/akt/kindlts</vt:lpwstr>
      </vt:variant>
      <vt:variant>
        <vt:lpwstr>para238</vt:lpwstr>
      </vt:variant>
      <vt:variant>
        <vt:i4>852040</vt:i4>
      </vt:variant>
      <vt:variant>
        <vt:i4>24</vt:i4>
      </vt:variant>
      <vt:variant>
        <vt:i4>0</vt:i4>
      </vt:variant>
      <vt:variant>
        <vt:i4>5</vt:i4>
      </vt:variant>
      <vt:variant>
        <vt:lpwstr>https://www.riigiteataja.ee/akt/ifs</vt:lpwstr>
      </vt:variant>
      <vt:variant>
        <vt:lpwstr>para463</vt:lpwstr>
      </vt:variant>
      <vt:variant>
        <vt:i4>524365</vt:i4>
      </vt:variant>
      <vt:variant>
        <vt:i4>21</vt:i4>
      </vt:variant>
      <vt:variant>
        <vt:i4>0</vt:i4>
      </vt:variant>
      <vt:variant>
        <vt:i4>5</vt:i4>
      </vt:variant>
      <vt:variant>
        <vt:lpwstr>https://eur-lex.europa.eu/legal-content/ET/TXT/?uri=CELEX:32018R0344</vt:lpwstr>
      </vt:variant>
      <vt:variant>
        <vt:lpwstr/>
      </vt:variant>
      <vt:variant>
        <vt:i4>5242896</vt:i4>
      </vt:variant>
      <vt:variant>
        <vt:i4>0</vt:i4>
      </vt:variant>
      <vt:variant>
        <vt:i4>0</vt:i4>
      </vt:variant>
      <vt:variant>
        <vt:i4>5</vt:i4>
      </vt:variant>
      <vt:variant>
        <vt:lpwstr>https://www.riigikogu.ee/tegevus/eelnoud/eelnou/018bb6e6-7561-4875-bdf1-68bce7d87b8a/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Kubja - RAM</dc:creator>
  <cp:keywords/>
  <dc:description/>
  <cp:lastModifiedBy>Merje Vessmann - RK</cp:lastModifiedBy>
  <cp:revision>4</cp:revision>
  <dcterms:created xsi:type="dcterms:W3CDTF">2026-05-19T12:21:00Z</dcterms:created>
  <dcterms:modified xsi:type="dcterms:W3CDTF">2026-05-19T12:25:00Z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2025-12-08T09:28:55Z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12c5acbb-4ffb-4dcb-a094-53f7c401a737</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